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2EF9"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34BDC074" w14:textId="6B041388"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DC6E88">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DC6E88">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14:paraId="6E8CEC3E" w14:textId="77777777" w:rsidR="008B543A" w:rsidRPr="005C477F" w:rsidRDefault="008B543A" w:rsidP="00F13154">
      <w:pPr>
        <w:spacing w:line="260" w:lineRule="exact"/>
        <w:jc w:val="center"/>
        <w:rPr>
          <w:rFonts w:ascii="Arial" w:hAnsi="Arial" w:cs="Arial"/>
          <w:b/>
          <w:sz w:val="22"/>
          <w:szCs w:val="22"/>
        </w:rPr>
      </w:pPr>
    </w:p>
    <w:p w14:paraId="2F4FF904"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6F007D32" w14:textId="0CC450A9" w:rsidR="007731AB" w:rsidRDefault="0066307D" w:rsidP="00F13154">
      <w:pPr>
        <w:pStyle w:val="Zkladntextodsazen"/>
        <w:spacing w:before="120" w:after="120" w:line="260" w:lineRule="exact"/>
        <w:jc w:val="center"/>
        <w:rPr>
          <w:rFonts w:ascii="Arial" w:hAnsi="Arial" w:cs="Arial"/>
          <w:bCs/>
          <w:sz w:val="22"/>
          <w:szCs w:val="22"/>
        </w:rPr>
      </w:pPr>
      <w:r w:rsidRPr="0066307D">
        <w:rPr>
          <w:rFonts w:ascii="Arial" w:hAnsi="Arial" w:cs="Arial"/>
          <w:b/>
          <w:bCs/>
          <w:sz w:val="22"/>
          <w:szCs w:val="22"/>
        </w:rPr>
        <w:t xml:space="preserve">III/11244 </w:t>
      </w:r>
      <w:proofErr w:type="spellStart"/>
      <w:r w:rsidRPr="0066307D">
        <w:rPr>
          <w:rFonts w:ascii="Arial" w:hAnsi="Arial" w:cs="Arial"/>
          <w:b/>
          <w:bCs/>
          <w:sz w:val="22"/>
          <w:szCs w:val="22"/>
        </w:rPr>
        <w:t>Radňov</w:t>
      </w:r>
      <w:proofErr w:type="spellEnd"/>
      <w:r w:rsidRPr="0066307D">
        <w:rPr>
          <w:rFonts w:ascii="Arial" w:hAnsi="Arial" w:cs="Arial"/>
          <w:b/>
          <w:bCs/>
          <w:sz w:val="22"/>
          <w:szCs w:val="22"/>
        </w:rPr>
        <w:t>, statické zajištění silnice</w:t>
      </w:r>
    </w:p>
    <w:p w14:paraId="631174EB" w14:textId="77777777" w:rsidR="002262AB" w:rsidRDefault="002262AB" w:rsidP="00F13154">
      <w:pPr>
        <w:pStyle w:val="Zkladntextodsazen"/>
        <w:spacing w:before="120" w:after="120" w:line="260" w:lineRule="exact"/>
        <w:jc w:val="center"/>
        <w:rPr>
          <w:rFonts w:ascii="Arial" w:hAnsi="Arial" w:cs="Arial"/>
          <w:b/>
          <w:sz w:val="22"/>
          <w:szCs w:val="22"/>
        </w:rPr>
      </w:pPr>
    </w:p>
    <w:p w14:paraId="2FBF5821"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5AA4AE06" w14:textId="77777777" w:rsidR="00392621" w:rsidRPr="005C477F" w:rsidRDefault="00392621" w:rsidP="00F13154">
      <w:pPr>
        <w:spacing w:line="260" w:lineRule="exact"/>
        <w:jc w:val="both"/>
        <w:rPr>
          <w:rFonts w:ascii="Arial" w:hAnsi="Arial" w:cs="Arial"/>
          <w:b/>
          <w:sz w:val="22"/>
          <w:szCs w:val="22"/>
        </w:rPr>
      </w:pPr>
    </w:p>
    <w:p w14:paraId="7AB4F351" w14:textId="77777777" w:rsidR="00EA767A" w:rsidRPr="00EA767A"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r w:rsidR="000B0978" w:rsidRPr="00EA767A">
        <w:rPr>
          <w:rFonts w:ascii="Arial" w:eastAsia="MS Mincho" w:hAnsi="Arial" w:cs="Arial"/>
          <w:b/>
          <w:bCs/>
          <w:sz w:val="22"/>
          <w:szCs w:val="22"/>
        </w:rPr>
        <w:t>,</w:t>
      </w:r>
      <w:r w:rsidR="00270D48" w:rsidRPr="00EA767A">
        <w:rPr>
          <w:rFonts w:ascii="Arial" w:eastAsia="MS Mincho" w:hAnsi="Arial" w:cs="Arial"/>
          <w:sz w:val="22"/>
          <w:szCs w:val="22"/>
        </w:rPr>
        <w:t xml:space="preserve"> Žižkova 57, 587 33 </w:t>
      </w:r>
      <w:r w:rsidR="00392621" w:rsidRPr="00EA767A">
        <w:rPr>
          <w:rFonts w:ascii="Arial" w:eastAsia="MS Mincho" w:hAnsi="Arial" w:cs="Arial"/>
          <w:sz w:val="22"/>
          <w:szCs w:val="22"/>
        </w:rPr>
        <w:t xml:space="preserve">Jihlava, </w:t>
      </w:r>
      <w:r w:rsidRPr="00EA767A">
        <w:rPr>
          <w:rFonts w:ascii="Arial" w:eastAsia="MS Mincho" w:hAnsi="Arial" w:cs="Arial"/>
          <w:sz w:val="22"/>
          <w:szCs w:val="22"/>
        </w:rPr>
        <w:t>zastoupený</w:t>
      </w:r>
      <w:r w:rsidR="00392621" w:rsidRPr="00EA767A">
        <w:rPr>
          <w:rFonts w:ascii="Arial" w:eastAsia="MS Mincho" w:hAnsi="Arial" w:cs="Arial"/>
          <w:sz w:val="22"/>
          <w:szCs w:val="22"/>
        </w:rPr>
        <w:t xml:space="preserve"> hejtmanem MUDr. Jiřím </w:t>
      </w:r>
      <w:r w:rsidR="009E36C2" w:rsidRPr="00EA767A">
        <w:rPr>
          <w:rFonts w:ascii="Arial" w:eastAsia="MS Mincho" w:hAnsi="Arial" w:cs="Arial"/>
          <w:sz w:val="22"/>
          <w:szCs w:val="22"/>
        </w:rPr>
        <w:t>B</w:t>
      </w:r>
      <w:r w:rsidR="00392621" w:rsidRPr="00EA767A">
        <w:rPr>
          <w:rFonts w:ascii="Arial" w:eastAsia="MS Mincho" w:hAnsi="Arial" w:cs="Arial"/>
          <w:sz w:val="22"/>
          <w:szCs w:val="22"/>
        </w:rPr>
        <w:t>ěhounkem</w:t>
      </w:r>
      <w:r w:rsidR="00EA767A" w:rsidRPr="00EA767A">
        <w:rPr>
          <w:rFonts w:ascii="Arial" w:eastAsia="MS Mincho" w:hAnsi="Arial" w:cs="Arial"/>
          <w:sz w:val="22"/>
          <w:szCs w:val="22"/>
        </w:rPr>
        <w:t>, k podpisu smlouvy pověřen Ing. Jan Hyliš, člen rady kraje pro oblast dopravy a silničního hospodářství</w:t>
      </w:r>
    </w:p>
    <w:p w14:paraId="0AE77426" w14:textId="1D506AE7" w:rsidR="007731AB" w:rsidRPr="007731AB" w:rsidRDefault="00FF6DD5"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66307D">
        <w:rPr>
          <w:rFonts w:ascii="Arial" w:eastAsia="MS Mincho" w:hAnsi="Arial" w:cs="Arial"/>
          <w:sz w:val="22"/>
          <w:szCs w:val="22"/>
        </w:rPr>
        <w:t>Tomáš Pípal</w:t>
      </w:r>
      <w:r w:rsidR="007731AB" w:rsidRPr="007731AB">
        <w:rPr>
          <w:rFonts w:ascii="Arial" w:eastAsia="MS Mincho" w:hAnsi="Arial" w:cs="Arial"/>
          <w:sz w:val="22"/>
          <w:szCs w:val="22"/>
        </w:rPr>
        <w:t>, Ing. Hana Matulová</w:t>
      </w:r>
    </w:p>
    <w:p w14:paraId="6C5F83E2" w14:textId="77777777" w:rsidR="007731AB" w:rsidRPr="007731AB" w:rsidRDefault="007731AB" w:rsidP="007731AB">
      <w:pPr>
        <w:jc w:val="both"/>
        <w:rPr>
          <w:rFonts w:ascii="Arial" w:hAnsi="Arial" w:cs="Arial"/>
          <w:sz w:val="22"/>
          <w:szCs w:val="22"/>
        </w:rPr>
      </w:pPr>
      <w:r w:rsidRPr="007731AB">
        <w:rPr>
          <w:rFonts w:ascii="Arial" w:hAnsi="Arial" w:cs="Arial"/>
          <w:sz w:val="22"/>
          <w:szCs w:val="22"/>
        </w:rPr>
        <w:t>Bankovní spojení:</w:t>
      </w:r>
      <w:r w:rsidRPr="007731AB">
        <w:rPr>
          <w:rFonts w:ascii="Arial" w:hAnsi="Arial" w:cs="Arial"/>
          <w:sz w:val="22"/>
          <w:szCs w:val="22"/>
        </w:rPr>
        <w:tab/>
      </w:r>
      <w:r w:rsidRPr="007731AB">
        <w:rPr>
          <w:rFonts w:ascii="Arial" w:hAnsi="Arial" w:cs="Arial"/>
          <w:sz w:val="22"/>
          <w:szCs w:val="22"/>
        </w:rPr>
        <w:tab/>
      </w:r>
      <w:proofErr w:type="spellStart"/>
      <w:r w:rsidRPr="007731AB">
        <w:rPr>
          <w:rFonts w:ascii="Arial" w:hAnsi="Arial" w:cs="Arial"/>
          <w:sz w:val="22"/>
          <w:szCs w:val="22"/>
        </w:rPr>
        <w:t>Sberbank</w:t>
      </w:r>
      <w:proofErr w:type="spellEnd"/>
      <w:r w:rsidRPr="007731AB">
        <w:rPr>
          <w:rFonts w:ascii="Arial" w:hAnsi="Arial" w:cs="Arial"/>
          <w:sz w:val="22"/>
          <w:szCs w:val="22"/>
        </w:rPr>
        <w:t xml:space="preserve"> CZ, a.s., pobočka Jihlava   </w:t>
      </w:r>
    </w:p>
    <w:p w14:paraId="27536A24" w14:textId="1D403A92" w:rsidR="007731AB" w:rsidRPr="007731AB" w:rsidRDefault="007731AB" w:rsidP="007731AB">
      <w:pPr>
        <w:jc w:val="both"/>
        <w:rPr>
          <w:rFonts w:ascii="Arial" w:hAnsi="Arial" w:cs="Arial"/>
          <w:sz w:val="22"/>
          <w:szCs w:val="22"/>
        </w:rPr>
      </w:pPr>
      <w:r w:rsidRPr="007731AB">
        <w:rPr>
          <w:rFonts w:ascii="Arial" w:hAnsi="Arial" w:cs="Arial"/>
          <w:sz w:val="22"/>
          <w:szCs w:val="22"/>
        </w:rPr>
        <w:t>Číslo účtu:</w:t>
      </w:r>
      <w:r w:rsidR="00841A91">
        <w:rPr>
          <w:rFonts w:ascii="Arial" w:hAnsi="Arial" w:cs="Arial"/>
          <w:sz w:val="22"/>
          <w:szCs w:val="22"/>
        </w:rPr>
        <w:tab/>
      </w:r>
      <w:r w:rsidR="00841A91">
        <w:rPr>
          <w:rFonts w:ascii="Arial" w:hAnsi="Arial" w:cs="Arial"/>
          <w:sz w:val="22"/>
          <w:szCs w:val="22"/>
        </w:rPr>
        <w:tab/>
      </w:r>
      <w:r w:rsidRPr="007731AB">
        <w:rPr>
          <w:rFonts w:ascii="Arial" w:hAnsi="Arial" w:cs="Arial"/>
          <w:sz w:val="22"/>
          <w:szCs w:val="22"/>
        </w:rPr>
        <w:tab/>
      </w:r>
      <w:r w:rsidR="002735E0" w:rsidRPr="00EB12CF">
        <w:rPr>
          <w:rFonts w:ascii="Arial" w:eastAsia="MS Mincho" w:hAnsi="Arial" w:cs="Arial"/>
          <w:sz w:val="22"/>
          <w:szCs w:val="22"/>
        </w:rPr>
        <w:t>4050005000</w:t>
      </w:r>
      <w:r w:rsidR="00B1781E" w:rsidRPr="00B1781E">
        <w:rPr>
          <w:rFonts w:ascii="Arial" w:hAnsi="Arial" w:cs="Arial"/>
          <w:sz w:val="22"/>
          <w:szCs w:val="22"/>
        </w:rPr>
        <w:t>/6800</w:t>
      </w:r>
    </w:p>
    <w:p w14:paraId="461BB66D"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30325B26" w14:textId="77777777" w:rsidR="004B5275" w:rsidRPr="005C477F" w:rsidRDefault="004B5275" w:rsidP="00F13154">
      <w:pPr>
        <w:spacing w:line="260" w:lineRule="exact"/>
        <w:jc w:val="both"/>
        <w:rPr>
          <w:rFonts w:ascii="Arial" w:hAnsi="Arial" w:cs="Arial"/>
          <w:b/>
          <w:sz w:val="22"/>
          <w:szCs w:val="22"/>
        </w:rPr>
      </w:pPr>
    </w:p>
    <w:p w14:paraId="16DF9BB2"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1B64BBCE" w14:textId="77777777" w:rsidR="00392621" w:rsidRDefault="00392621" w:rsidP="00F13154">
      <w:pPr>
        <w:spacing w:line="260" w:lineRule="exact"/>
        <w:jc w:val="both"/>
        <w:rPr>
          <w:rFonts w:ascii="Arial" w:hAnsi="Arial" w:cs="Arial"/>
          <w:b/>
          <w:sz w:val="22"/>
          <w:szCs w:val="22"/>
        </w:rPr>
      </w:pPr>
    </w:p>
    <w:p w14:paraId="59878BA9" w14:textId="1E0CD3CA"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4005B993" w14:textId="12F75EA9" w:rsidR="00AA16A2" w:rsidRDefault="00AA16A2" w:rsidP="00AA16A2">
      <w:pPr>
        <w:jc w:val="both"/>
        <w:rPr>
          <w:rFonts w:ascii="Arial" w:hAnsi="Arial" w:cs="Arial"/>
          <w:sz w:val="22"/>
          <w:szCs w:val="22"/>
        </w:rPr>
      </w:pPr>
      <w:r w:rsidRPr="005C477F">
        <w:rPr>
          <w:rFonts w:ascii="Arial" w:hAnsi="Arial" w:cs="Arial"/>
          <w:sz w:val="22"/>
          <w:szCs w:val="22"/>
        </w:rPr>
        <w:t xml:space="preserve">Adresa: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36AD0B74" w14:textId="450B1278"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279D2CD2" w14:textId="54D0522B"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53CD394C"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proofErr w:type="gramStart"/>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roofErr w:type="gramEnd"/>
    </w:p>
    <w:p w14:paraId="031BFD9E" w14:textId="66179053" w:rsidR="00AA16A2" w:rsidRPr="005C477F" w:rsidRDefault="00AA16A2" w:rsidP="00AA16A2">
      <w:pPr>
        <w:pStyle w:val="Nadpis2"/>
        <w:numPr>
          <w:ilvl w:val="0"/>
          <w:numId w:val="0"/>
        </w:numPr>
        <w:jc w:val="both"/>
        <w:rPr>
          <w:rFonts w:ascii="Arial" w:hAnsi="Arial" w:cs="Arial"/>
          <w:sz w:val="22"/>
          <w:szCs w:val="22"/>
        </w:rPr>
      </w:pPr>
      <w:r w:rsidRPr="005C477F">
        <w:rPr>
          <w:rFonts w:ascii="Arial" w:hAnsi="Arial" w:cs="Arial"/>
          <w:sz w:val="22"/>
          <w:szCs w:val="22"/>
        </w:rPr>
        <w:t>Peněžní ústav:</w:t>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63DD442E" w14:textId="3524B31F" w:rsidR="00AA16A2" w:rsidRPr="005C477F" w:rsidRDefault="00AA16A2" w:rsidP="00AA16A2">
      <w:pPr>
        <w:pStyle w:val="Nadpis2"/>
        <w:tabs>
          <w:tab w:val="left" w:pos="0"/>
        </w:tabs>
        <w:jc w:val="both"/>
      </w:pPr>
      <w:r w:rsidRPr="005C477F">
        <w:rPr>
          <w:rFonts w:ascii="Arial" w:hAnsi="Arial" w:cs="Arial"/>
          <w:sz w:val="22"/>
          <w:szCs w:val="22"/>
        </w:rPr>
        <w:t>Číslo účtu:</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3A8D71E1" w14:textId="77777777" w:rsidR="008F211F" w:rsidRPr="005C477F" w:rsidRDefault="008F211F" w:rsidP="00F13154">
      <w:pPr>
        <w:spacing w:line="260" w:lineRule="exact"/>
        <w:jc w:val="both"/>
        <w:rPr>
          <w:rFonts w:ascii="Arial" w:hAnsi="Arial" w:cs="Arial"/>
          <w:b/>
          <w:sz w:val="22"/>
          <w:szCs w:val="22"/>
        </w:rPr>
      </w:pPr>
    </w:p>
    <w:p w14:paraId="5F56950F" w14:textId="49DF2424"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17A155DD" w14:textId="77777777" w:rsidR="00392621" w:rsidRPr="005C477F" w:rsidRDefault="00392621" w:rsidP="00F13154">
      <w:pPr>
        <w:spacing w:line="260" w:lineRule="exact"/>
        <w:jc w:val="both"/>
        <w:rPr>
          <w:rFonts w:ascii="Arial" w:hAnsi="Arial" w:cs="Arial"/>
          <w:b/>
          <w:sz w:val="22"/>
          <w:szCs w:val="22"/>
        </w:rPr>
      </w:pPr>
    </w:p>
    <w:p w14:paraId="5FE22ABD" w14:textId="2BAE93EB"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14:paraId="110C6B4C" w14:textId="77777777" w:rsidR="00841A91" w:rsidRDefault="00841A91" w:rsidP="00F13154">
      <w:pPr>
        <w:spacing w:line="260" w:lineRule="exact"/>
        <w:jc w:val="both"/>
        <w:rPr>
          <w:rFonts w:ascii="Arial" w:hAnsi="Arial" w:cs="Arial"/>
          <w:sz w:val="22"/>
          <w:szCs w:val="22"/>
        </w:rPr>
      </w:pPr>
    </w:p>
    <w:p w14:paraId="028E79AB"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28342951" w14:textId="19122CA7" w:rsidR="00F94973" w:rsidRPr="006728BE" w:rsidRDefault="00AA02D9" w:rsidP="006728BE">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9907FC" w:rsidRPr="007301D4">
        <w:rPr>
          <w:rFonts w:ascii="Arial" w:hAnsi="Arial" w:cs="Arial"/>
          <w:sz w:val="22"/>
          <w:szCs w:val="22"/>
        </w:rPr>
        <w:t xml:space="preserve"> a na jeho účet výkon „Technického dozoru stavebníka“ (dále </w:t>
      </w:r>
      <w:r w:rsidR="00797824">
        <w:rPr>
          <w:rFonts w:ascii="Arial" w:hAnsi="Arial" w:cs="Arial"/>
          <w:sz w:val="22"/>
          <w:szCs w:val="22"/>
        </w:rPr>
        <w:t>též</w:t>
      </w:r>
      <w:r w:rsidR="009907FC" w:rsidRPr="007301D4">
        <w:rPr>
          <w:rFonts w:ascii="Arial" w:hAnsi="Arial" w:cs="Arial"/>
          <w:sz w:val="22"/>
          <w:szCs w:val="22"/>
        </w:rPr>
        <w:t xml:space="preserve"> </w:t>
      </w:r>
      <w:r w:rsidR="00797824">
        <w:rPr>
          <w:rFonts w:ascii="Arial" w:hAnsi="Arial" w:cs="Arial"/>
          <w:sz w:val="22"/>
          <w:szCs w:val="22"/>
        </w:rPr>
        <w:t>„</w:t>
      </w:r>
      <w:r w:rsidR="009907FC" w:rsidRPr="007301D4">
        <w:rPr>
          <w:rFonts w:ascii="Arial" w:hAnsi="Arial" w:cs="Arial"/>
          <w:sz w:val="22"/>
          <w:szCs w:val="22"/>
        </w:rPr>
        <w:t>TD</w:t>
      </w:r>
      <w:r w:rsidR="00797824">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 xml:space="preserve">kvalitu a způsob provádění prací specifikovaných ve smlouvě o dílo </w:t>
      </w:r>
      <w:r w:rsidR="005C5877">
        <w:rPr>
          <w:rFonts w:ascii="Arial" w:hAnsi="Arial" w:cs="Arial"/>
          <w:sz w:val="22"/>
          <w:szCs w:val="22"/>
        </w:rPr>
        <w:t>se zhotovitelem</w:t>
      </w:r>
      <w:r w:rsidR="009907FC" w:rsidRPr="007301D4">
        <w:rPr>
          <w:rFonts w:ascii="Arial" w:hAnsi="Arial" w:cs="Arial"/>
          <w:sz w:val="22"/>
          <w:szCs w:val="22"/>
        </w:rPr>
        <w:t xml:space="preserve"> na akci</w:t>
      </w:r>
      <w:r w:rsidR="00E00041" w:rsidRPr="007301D4">
        <w:rPr>
          <w:rFonts w:ascii="Arial" w:hAnsi="Arial" w:cs="Arial"/>
          <w:sz w:val="22"/>
          <w:szCs w:val="22"/>
        </w:rPr>
        <w:t xml:space="preserve"> </w:t>
      </w:r>
      <w:r w:rsidR="002735E0" w:rsidRPr="002735E0">
        <w:rPr>
          <w:rFonts w:ascii="Arial" w:hAnsi="Arial" w:cs="Arial"/>
          <w:sz w:val="22"/>
          <w:szCs w:val="22"/>
        </w:rPr>
        <w:t xml:space="preserve">III/11244 </w:t>
      </w:r>
      <w:proofErr w:type="spellStart"/>
      <w:r w:rsidR="002735E0" w:rsidRPr="002735E0">
        <w:rPr>
          <w:rFonts w:ascii="Arial" w:hAnsi="Arial" w:cs="Arial"/>
          <w:sz w:val="22"/>
          <w:szCs w:val="22"/>
        </w:rPr>
        <w:t>Radňov</w:t>
      </w:r>
      <w:proofErr w:type="spellEnd"/>
      <w:r w:rsidR="002735E0" w:rsidRPr="002735E0">
        <w:rPr>
          <w:rFonts w:ascii="Arial" w:hAnsi="Arial" w:cs="Arial"/>
          <w:sz w:val="22"/>
          <w:szCs w:val="22"/>
        </w:rPr>
        <w:t>, statické zajištění silnice</w:t>
      </w:r>
      <w:r w:rsidR="00E00041" w:rsidRPr="007301D4">
        <w:rPr>
          <w:rFonts w:ascii="Arial" w:hAnsi="Arial" w:cs="Arial"/>
          <w:sz w:val="22"/>
          <w:szCs w:val="22"/>
        </w:rPr>
        <w:t xml:space="preserve"> </w:t>
      </w:r>
      <w:r w:rsidR="002735E0" w:rsidRPr="002735E0">
        <w:rPr>
          <w:rFonts w:ascii="Arial" w:hAnsi="Arial" w:cs="Arial"/>
          <w:sz w:val="22"/>
          <w:szCs w:val="22"/>
        </w:rPr>
        <w:t xml:space="preserve">dle projektové dokumentace „III/11244 </w:t>
      </w:r>
      <w:proofErr w:type="spellStart"/>
      <w:r w:rsidR="002735E0" w:rsidRPr="002735E0">
        <w:rPr>
          <w:rFonts w:ascii="Arial" w:hAnsi="Arial" w:cs="Arial"/>
          <w:sz w:val="22"/>
          <w:szCs w:val="22"/>
        </w:rPr>
        <w:t>Radňov</w:t>
      </w:r>
      <w:proofErr w:type="spellEnd"/>
      <w:r w:rsidR="002735E0" w:rsidRPr="002735E0">
        <w:rPr>
          <w:rFonts w:ascii="Arial" w:hAnsi="Arial" w:cs="Arial"/>
          <w:sz w:val="22"/>
          <w:szCs w:val="22"/>
        </w:rPr>
        <w:t>, statické zajištění silnice“ zpracované ve stupni PDPS společností Projekční kancelář PRIS spol. s r.o., Osová 717/20, 625 00 Brno, IČO 46974806</w:t>
      </w:r>
      <w:r w:rsidR="006728BE">
        <w:rPr>
          <w:rFonts w:ascii="Arial" w:hAnsi="Arial" w:cs="Arial"/>
          <w:sz w:val="22"/>
          <w:szCs w:val="22"/>
        </w:rPr>
        <w:t>.</w:t>
      </w:r>
    </w:p>
    <w:p w14:paraId="51542EFF" w14:textId="77777777"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59BD829" w14:textId="7777777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14:paraId="66C06978" w14:textId="77777777" w:rsidR="005064E5" w:rsidRDefault="005064E5" w:rsidP="005064E5">
      <w:pPr>
        <w:pStyle w:val="Zkladntextodsazen21"/>
        <w:tabs>
          <w:tab w:val="left" w:pos="567"/>
        </w:tabs>
        <w:spacing w:line="260" w:lineRule="exact"/>
        <w:ind w:left="0" w:firstLine="0"/>
        <w:rPr>
          <w:rFonts w:ascii="Arial" w:hAnsi="Arial" w:cs="Arial"/>
          <w:sz w:val="22"/>
          <w:szCs w:val="22"/>
        </w:rPr>
      </w:pPr>
    </w:p>
    <w:p w14:paraId="7E9B12DB" w14:textId="4C442C0B" w:rsidR="00004907" w:rsidRPr="00AF2EF7" w:rsidRDefault="00004907" w:rsidP="00004907">
      <w:pPr>
        <w:pStyle w:val="Zkladntextodsazen21"/>
        <w:numPr>
          <w:ilvl w:val="1"/>
          <w:numId w:val="19"/>
        </w:numPr>
        <w:spacing w:before="120" w:line="260" w:lineRule="exact"/>
        <w:rPr>
          <w:rFonts w:ascii="Arial" w:hAnsi="Arial"/>
          <w:sz w:val="22"/>
        </w:rPr>
      </w:pPr>
      <w:r w:rsidRPr="009A0215">
        <w:rPr>
          <w:rFonts w:ascii="Arial" w:hAnsi="Arial"/>
          <w:b/>
          <w:sz w:val="22"/>
        </w:rPr>
        <w:lastRenderedPageBreak/>
        <w:t xml:space="preserve">K zajištění výkonu vybraných činností ve výstavbě, přesahujících rozsah oboru, popřípadě specializace, k jejímuž výkonu byla </w:t>
      </w:r>
      <w:r w:rsidR="005C5877" w:rsidRPr="003363B6">
        <w:rPr>
          <w:rFonts w:ascii="Arial" w:hAnsi="Arial"/>
          <w:b/>
          <w:sz w:val="22"/>
        </w:rPr>
        <w:t xml:space="preserve">příkazníkovi jako </w:t>
      </w:r>
      <w:r w:rsidRPr="003363B6">
        <w:rPr>
          <w:rFonts w:ascii="Arial" w:hAnsi="Arial"/>
          <w:b/>
          <w:sz w:val="22"/>
        </w:rPr>
        <w:t xml:space="preserve">autorizované osobě autorizace udělena, je </w:t>
      </w:r>
      <w:r w:rsidR="00801CF7" w:rsidRPr="003363B6">
        <w:rPr>
          <w:rFonts w:ascii="Arial" w:hAnsi="Arial"/>
          <w:b/>
          <w:sz w:val="22"/>
        </w:rPr>
        <w:t xml:space="preserve">příkazník </w:t>
      </w:r>
      <w:r w:rsidR="003363B6">
        <w:rPr>
          <w:rFonts w:ascii="Arial" w:hAnsi="Arial"/>
          <w:b/>
          <w:sz w:val="22"/>
        </w:rPr>
        <w:t>povi</w:t>
      </w:r>
      <w:r w:rsidRPr="003363B6">
        <w:rPr>
          <w:rFonts w:ascii="Arial" w:hAnsi="Arial"/>
          <w:b/>
          <w:sz w:val="22"/>
        </w:rPr>
        <w:t>n</w:t>
      </w:r>
      <w:r w:rsidR="005C5877" w:rsidRPr="003363B6">
        <w:rPr>
          <w:rFonts w:ascii="Arial" w:hAnsi="Arial"/>
          <w:b/>
          <w:sz w:val="22"/>
        </w:rPr>
        <w:t>en</w:t>
      </w:r>
      <w:r w:rsidRPr="003363B6">
        <w:rPr>
          <w:rFonts w:ascii="Arial" w:hAnsi="Arial"/>
          <w:b/>
          <w:sz w:val="22"/>
        </w:rPr>
        <w:t xml:space="preserve"> zajistit spolupráci</w:t>
      </w:r>
      <w:r w:rsidRPr="00AF2EF7">
        <w:rPr>
          <w:rFonts w:ascii="Arial" w:hAnsi="Arial"/>
          <w:b/>
          <w:sz w:val="22"/>
        </w:rPr>
        <w:t xml:space="preserve"> osoby s autorizací v příslušném oboru, popřípadě specializaci</w:t>
      </w:r>
      <w:r w:rsidRPr="00AF2EF7">
        <w:rPr>
          <w:rFonts w:ascii="Arial" w:hAnsi="Arial"/>
          <w:sz w:val="22"/>
        </w:rPr>
        <w:t>.</w:t>
      </w:r>
    </w:p>
    <w:p w14:paraId="1E2F5BD7" w14:textId="77777777" w:rsidR="005064E5" w:rsidRPr="000A3501" w:rsidRDefault="005064E5" w:rsidP="005064E5">
      <w:pPr>
        <w:pStyle w:val="Zkladntextodsazen21"/>
        <w:spacing w:line="260" w:lineRule="exact"/>
        <w:ind w:left="0" w:firstLine="0"/>
        <w:rPr>
          <w:rFonts w:ascii="Arial" w:hAnsi="Arial"/>
          <w:sz w:val="22"/>
        </w:rPr>
      </w:pPr>
    </w:p>
    <w:p w14:paraId="19E2F963" w14:textId="04695ABD"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uvedené ve Výzvě pro podání nabídek,</w:t>
      </w:r>
      <w:r w:rsidR="0034345C" w:rsidRPr="005C477F">
        <w:rPr>
          <w:rFonts w:ascii="Arial" w:hAnsi="Arial" w:cs="Arial"/>
          <w:sz w:val="22"/>
          <w:szCs w:val="22"/>
        </w:rPr>
        <w:t xml:space="preserve"> v rámci veřejné zakázky, na jejímž základě bylo rozhodnuto o výběru nejvhodnější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14:paraId="3385F9DF" w14:textId="77777777"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14:paraId="7B6A8543" w14:textId="5B6A6918"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14:paraId="21D01425" w14:textId="6AA3AAD5" w:rsidR="00841A91" w:rsidRDefault="00841A91" w:rsidP="005064E5">
      <w:pPr>
        <w:pStyle w:val="Zkladntextodsazen21"/>
        <w:tabs>
          <w:tab w:val="left" w:pos="567"/>
        </w:tabs>
        <w:spacing w:line="260" w:lineRule="exact"/>
        <w:ind w:left="0" w:firstLine="0"/>
        <w:rPr>
          <w:rFonts w:ascii="Arial" w:hAnsi="Arial" w:cs="Arial"/>
          <w:sz w:val="22"/>
          <w:szCs w:val="22"/>
        </w:rPr>
      </w:pPr>
    </w:p>
    <w:p w14:paraId="40875F7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24652E85"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58B66E32" w14:textId="77777777" w:rsidR="00392621" w:rsidRPr="005C477F" w:rsidRDefault="00392621" w:rsidP="00F13154">
      <w:pPr>
        <w:pStyle w:val="Zkladntextodsazen31"/>
        <w:spacing w:line="260" w:lineRule="exact"/>
        <w:ind w:left="0" w:firstLine="0"/>
        <w:rPr>
          <w:rFonts w:ascii="Arial" w:hAnsi="Arial" w:cs="Arial"/>
          <w:sz w:val="22"/>
          <w:szCs w:val="22"/>
        </w:rPr>
      </w:pPr>
    </w:p>
    <w:p w14:paraId="69AE51BF"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14:paraId="5F83079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40C6373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14:paraId="0F4033C3"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14:paraId="2D0E74F7"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1EA9F941"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79CBFE10"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21DEA8A5" w14:textId="5055A20C"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zhotovitele o převzetí staveniště.</w:t>
      </w:r>
    </w:p>
    <w:p w14:paraId="75F88D17" w14:textId="77777777" w:rsidR="005F2D80" w:rsidRPr="005C477F" w:rsidRDefault="005F2D80" w:rsidP="00F13154">
      <w:pPr>
        <w:tabs>
          <w:tab w:val="left" w:pos="709"/>
        </w:tabs>
        <w:spacing w:line="260" w:lineRule="exact"/>
        <w:jc w:val="both"/>
        <w:rPr>
          <w:rFonts w:ascii="Arial" w:hAnsi="Arial" w:cs="Arial"/>
          <w:sz w:val="22"/>
          <w:szCs w:val="22"/>
        </w:rPr>
      </w:pPr>
    </w:p>
    <w:p w14:paraId="5B49B2AD"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3558727C"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1D2CDE82" w14:textId="5B50012E"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stavebních prací</w:t>
      </w:r>
      <w:r w:rsidR="00C03F32">
        <w:rPr>
          <w:rFonts w:ascii="Arial" w:hAnsi="Arial" w:cs="Arial"/>
          <w:sz w:val="22"/>
          <w:szCs w:val="22"/>
        </w:rPr>
        <w:t>;</w:t>
      </w:r>
    </w:p>
    <w:p w14:paraId="5D60E470" w14:textId="049089D6"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 průběžně zpracovává dokumentaci skutečného provedení stavby</w:t>
      </w:r>
      <w:r w:rsidR="00C03F32">
        <w:rPr>
          <w:rFonts w:ascii="Arial" w:hAnsi="Arial" w:cs="Arial"/>
          <w:sz w:val="22"/>
          <w:szCs w:val="22"/>
        </w:rPr>
        <w:t>;</w:t>
      </w:r>
    </w:p>
    <w:p w14:paraId="692873E7"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4FF34F3E" w14:textId="78C6C188"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týdně)</w:t>
      </w:r>
      <w:r w:rsidR="00C03F32">
        <w:rPr>
          <w:rFonts w:ascii="Arial" w:hAnsi="Arial" w:cs="Arial"/>
          <w:sz w:val="22"/>
          <w:szCs w:val="22"/>
        </w:rPr>
        <w:t>;</w:t>
      </w:r>
    </w:p>
    <w:p w14:paraId="4433CDB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12670D25"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166FF20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5FA3AE4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C03F32">
        <w:rPr>
          <w:rFonts w:ascii="Arial" w:hAnsi="Arial" w:cs="Arial"/>
          <w:sz w:val="22"/>
          <w:szCs w:val="22"/>
        </w:rPr>
        <w:t> </w:t>
      </w:r>
      <w:r w:rsidRPr="005C477F">
        <w:rPr>
          <w:rFonts w:ascii="Arial" w:hAnsi="Arial" w:cs="Arial"/>
          <w:sz w:val="22"/>
          <w:szCs w:val="22"/>
        </w:rPr>
        <w:t>projektem</w:t>
      </w:r>
      <w:r w:rsidR="00C03F32">
        <w:rPr>
          <w:rFonts w:ascii="Arial" w:hAnsi="Arial" w:cs="Arial"/>
          <w:sz w:val="22"/>
          <w:szCs w:val="22"/>
        </w:rPr>
        <w:t>;</w:t>
      </w:r>
    </w:p>
    <w:p w14:paraId="2561060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sledování, zda zhotovitel provádí předepsané a dohodnuté zkoušky materiálů, konstrukcí a prací, kontrolování jejich výsledků a vyžadování dokladů, které prokazují kvalitu </w:t>
      </w:r>
      <w:r w:rsidRPr="005C477F">
        <w:rPr>
          <w:rFonts w:ascii="Arial" w:hAnsi="Arial" w:cs="Arial"/>
          <w:sz w:val="22"/>
          <w:szCs w:val="22"/>
        </w:rPr>
        <w:lastRenderedPageBreak/>
        <w:t>prováděných prací a dodávek (atesty, protokoly apod.)</w:t>
      </w:r>
      <w:r w:rsidR="0025157C" w:rsidRPr="005C477F">
        <w:rPr>
          <w:rFonts w:ascii="Arial" w:hAnsi="Arial" w:cs="Arial"/>
          <w:sz w:val="22"/>
          <w:szCs w:val="22"/>
        </w:rPr>
        <w:t xml:space="preserve">, je přítomen kontrolním zkouškám, které provádí zhotovitel na staveništi </w:t>
      </w:r>
      <w:r w:rsidR="0071228A">
        <w:rPr>
          <w:rFonts w:ascii="Arial" w:hAnsi="Arial" w:cs="Arial"/>
          <w:sz w:val="22"/>
          <w:szCs w:val="22"/>
        </w:rPr>
        <w:t>a to v souladu se smlouvou o dílo</w:t>
      </w:r>
      <w:r w:rsidR="00C03F32">
        <w:rPr>
          <w:rFonts w:ascii="Arial" w:hAnsi="Arial" w:cs="Arial"/>
          <w:sz w:val="22"/>
          <w:szCs w:val="22"/>
        </w:rPr>
        <w:t>;</w:t>
      </w:r>
    </w:p>
    <w:p w14:paraId="1630EB2D"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6DBACC66"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324067F5"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6BE0E21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2D4D8BA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12F2773B" w14:textId="77777777"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14:paraId="7AD4E0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53C13E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379674A4"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220579D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471F1048"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r w:rsidR="00C03F32">
        <w:rPr>
          <w:rFonts w:ascii="Arial" w:hAnsi="Arial" w:cs="Arial"/>
          <w:sz w:val="22"/>
          <w:szCs w:val="22"/>
        </w:rPr>
        <w:t>;</w:t>
      </w:r>
    </w:p>
    <w:p w14:paraId="0DC06D54"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14:paraId="2A2EFAD2" w14:textId="77777777" w:rsidR="00392621" w:rsidRPr="005C477F" w:rsidRDefault="00392621" w:rsidP="00F13154">
      <w:pPr>
        <w:tabs>
          <w:tab w:val="left" w:pos="1417"/>
        </w:tabs>
        <w:spacing w:line="260" w:lineRule="exact"/>
        <w:jc w:val="both"/>
        <w:rPr>
          <w:rFonts w:ascii="Arial" w:hAnsi="Arial" w:cs="Arial"/>
          <w:sz w:val="22"/>
          <w:szCs w:val="22"/>
        </w:rPr>
      </w:pPr>
    </w:p>
    <w:p w14:paraId="675912D1"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5F33D588" w14:textId="35CE6890"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6293BB0A" w14:textId="50DA39BE"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0F21BE68"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1C92442C"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324DFBCA"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74C149E0"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363BF9E1"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35EE0EF8"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08C11EF5" w14:textId="4742C195"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73CD4ED4" w14:textId="58B6FD89" w:rsidR="00841A91" w:rsidRPr="00AF2EF7" w:rsidRDefault="00841A91" w:rsidP="00165631">
      <w:pPr>
        <w:suppressAutoHyphens w:val="0"/>
        <w:rPr>
          <w:sz w:val="22"/>
          <w:szCs w:val="22"/>
        </w:rPr>
      </w:pPr>
    </w:p>
    <w:p w14:paraId="26561334"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4F2B72DA" w14:textId="1B1FE59E"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32435D65"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47DB075B" w14:textId="120DF295"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50E2018A" w14:textId="5650B770" w:rsidR="00501065" w:rsidRDefault="00501065" w:rsidP="00DB1F75">
      <w:pPr>
        <w:pStyle w:val="Zkladntextodsazen"/>
        <w:tabs>
          <w:tab w:val="left" w:pos="567"/>
        </w:tabs>
        <w:jc w:val="both"/>
        <w:rPr>
          <w:rFonts w:ascii="Arial" w:hAnsi="Arial" w:cs="Arial"/>
          <w:sz w:val="22"/>
          <w:szCs w:val="22"/>
        </w:rPr>
      </w:pPr>
      <w:r w:rsidRPr="00501065">
        <w:rPr>
          <w:rFonts w:ascii="Arial" w:hAnsi="Arial" w:cs="Arial"/>
          <w:sz w:val="22"/>
          <w:szCs w:val="22"/>
        </w:rPr>
        <w:t>Zahájení realizace stavby – předání staveniště:</w:t>
      </w:r>
      <w:r w:rsidRPr="00501065">
        <w:rPr>
          <w:rFonts w:ascii="Arial" w:hAnsi="Arial" w:cs="Arial"/>
          <w:sz w:val="22"/>
          <w:szCs w:val="22"/>
        </w:rPr>
        <w:tab/>
      </w:r>
      <w:r w:rsidRPr="00501065">
        <w:rPr>
          <w:rFonts w:ascii="Arial" w:hAnsi="Arial" w:cs="Arial"/>
          <w:sz w:val="22"/>
          <w:szCs w:val="22"/>
        </w:rPr>
        <w:tab/>
      </w:r>
      <w:r w:rsidR="00332CB1">
        <w:rPr>
          <w:rFonts w:ascii="Arial" w:hAnsi="Arial" w:cs="Arial"/>
          <w:sz w:val="22"/>
          <w:szCs w:val="22"/>
        </w:rPr>
        <w:tab/>
      </w:r>
      <w:r w:rsidRPr="00501065">
        <w:rPr>
          <w:rFonts w:ascii="Arial" w:hAnsi="Arial" w:cs="Arial"/>
          <w:sz w:val="22"/>
          <w:szCs w:val="22"/>
        </w:rPr>
        <w:t>předpoklad 0</w:t>
      </w:r>
      <w:r w:rsidR="002735E0">
        <w:rPr>
          <w:rFonts w:ascii="Arial" w:hAnsi="Arial" w:cs="Arial"/>
          <w:sz w:val="22"/>
          <w:szCs w:val="22"/>
        </w:rPr>
        <w:t>4</w:t>
      </w:r>
      <w:r w:rsidR="00DC439D">
        <w:rPr>
          <w:rFonts w:ascii="Arial" w:hAnsi="Arial" w:cs="Arial"/>
          <w:sz w:val="22"/>
          <w:szCs w:val="22"/>
        </w:rPr>
        <w:t>/2020</w:t>
      </w:r>
    </w:p>
    <w:p w14:paraId="719A29D0" w14:textId="31476215" w:rsidR="00364324" w:rsidRPr="00501065" w:rsidRDefault="00364324" w:rsidP="00DB1F75">
      <w:pPr>
        <w:pStyle w:val="Zkladntextodsazen"/>
        <w:tabs>
          <w:tab w:val="left" w:pos="567"/>
        </w:tabs>
        <w:jc w:val="both"/>
        <w:rPr>
          <w:rFonts w:ascii="Arial" w:hAnsi="Arial" w:cs="Arial"/>
          <w:sz w:val="22"/>
          <w:szCs w:val="22"/>
        </w:rPr>
      </w:pPr>
      <w:r w:rsidRPr="00501065">
        <w:rPr>
          <w:rFonts w:ascii="Arial" w:hAnsi="Arial" w:cs="Arial"/>
          <w:sz w:val="22"/>
          <w:szCs w:val="22"/>
        </w:rPr>
        <w:t xml:space="preserve">Dokončení </w:t>
      </w:r>
      <w:r>
        <w:rPr>
          <w:rFonts w:ascii="Arial" w:hAnsi="Arial" w:cs="Arial"/>
          <w:sz w:val="22"/>
          <w:szCs w:val="22"/>
        </w:rPr>
        <w:t>stavební části díla, uvedení do předčasného užívání:</w:t>
      </w:r>
      <w:r>
        <w:rPr>
          <w:rFonts w:ascii="Arial" w:hAnsi="Arial" w:cs="Arial"/>
          <w:sz w:val="22"/>
          <w:szCs w:val="22"/>
        </w:rPr>
        <w:tab/>
        <w:t>do 31. 8. 20</w:t>
      </w:r>
      <w:r w:rsidR="003C6B0A">
        <w:rPr>
          <w:rFonts w:ascii="Arial" w:hAnsi="Arial" w:cs="Arial"/>
          <w:sz w:val="22"/>
          <w:szCs w:val="22"/>
        </w:rPr>
        <w:t>20</w:t>
      </w:r>
    </w:p>
    <w:p w14:paraId="0961FE00" w14:textId="77777777" w:rsidR="00501065" w:rsidRPr="00501065" w:rsidRDefault="00501065" w:rsidP="00295FB3">
      <w:pPr>
        <w:pStyle w:val="Zkladntextodsazen"/>
        <w:tabs>
          <w:tab w:val="left" w:pos="567"/>
        </w:tabs>
        <w:spacing w:line="260" w:lineRule="exact"/>
        <w:ind w:left="567"/>
        <w:jc w:val="both"/>
        <w:rPr>
          <w:rFonts w:ascii="Arial" w:hAnsi="Arial" w:cs="Arial"/>
          <w:sz w:val="22"/>
          <w:szCs w:val="22"/>
        </w:rPr>
      </w:pPr>
    </w:p>
    <w:p w14:paraId="40CD1647" w14:textId="2340F54F" w:rsidR="00501065" w:rsidRP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Dokončení díla vč. předání kompletní dokladové části</w:t>
      </w:r>
      <w:r w:rsidRPr="00501065">
        <w:rPr>
          <w:rFonts w:ascii="Arial" w:hAnsi="Arial" w:cs="Arial"/>
          <w:sz w:val="22"/>
          <w:szCs w:val="22"/>
        </w:rPr>
        <w:tab/>
      </w:r>
      <w:r w:rsidR="00332CB1" w:rsidRPr="00332CB1">
        <w:rPr>
          <w:rFonts w:ascii="Arial" w:hAnsi="Arial" w:cs="Arial"/>
          <w:sz w:val="22"/>
          <w:szCs w:val="22"/>
        </w:rPr>
        <w:tab/>
      </w:r>
      <w:r w:rsidR="00DB1F75">
        <w:rPr>
          <w:rFonts w:ascii="Arial" w:hAnsi="Arial" w:cs="Arial"/>
          <w:sz w:val="22"/>
          <w:szCs w:val="22"/>
        </w:rPr>
        <w:t xml:space="preserve">do 30. 11. </w:t>
      </w:r>
      <w:r w:rsidR="00332CB1" w:rsidRPr="00332CB1">
        <w:rPr>
          <w:rFonts w:ascii="Arial" w:hAnsi="Arial" w:cs="Arial"/>
          <w:sz w:val="22"/>
          <w:szCs w:val="22"/>
        </w:rPr>
        <w:t>2020</w:t>
      </w:r>
    </w:p>
    <w:p w14:paraId="16DC6827" w14:textId="77777777"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14:paraId="20946926" w14:textId="5BA8F9EA" w:rsid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V zimním období (tj. od 1. listopadu do 31. března) nebudou na komunikaci prováděny žádné práce, které by bránily provozu a zimní údržbě</w:t>
      </w:r>
    </w:p>
    <w:p w14:paraId="7892AD7E" w14:textId="77777777" w:rsidR="00392621" w:rsidRPr="005C477F" w:rsidRDefault="00392621" w:rsidP="00F13154">
      <w:pPr>
        <w:pStyle w:val="Zkladntextodsazen"/>
        <w:spacing w:line="260" w:lineRule="exact"/>
        <w:jc w:val="both"/>
        <w:rPr>
          <w:rFonts w:ascii="Arial" w:hAnsi="Arial" w:cs="Arial"/>
          <w:sz w:val="22"/>
          <w:szCs w:val="22"/>
        </w:rPr>
      </w:pPr>
    </w:p>
    <w:p w14:paraId="232EA5E4" w14:textId="23267DF1"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w:t>
      </w:r>
      <w:r w:rsidR="00412D4A" w:rsidRPr="00E00041">
        <w:rPr>
          <w:rFonts w:ascii="Arial" w:hAnsi="Arial" w:cs="Arial"/>
          <w:sz w:val="22"/>
          <w:szCs w:val="22"/>
        </w:rPr>
        <w:lastRenderedPageBreak/>
        <w:t>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DB1F75">
        <w:rPr>
          <w:rFonts w:ascii="Arial" w:hAnsi="Arial" w:cs="Arial"/>
          <w:sz w:val="22"/>
          <w:szCs w:val="22"/>
        </w:rPr>
        <w:t>11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332CB1">
        <w:rPr>
          <w:rFonts w:ascii="Arial" w:hAnsi="Arial" w:cs="Arial"/>
          <w:sz w:val="22"/>
          <w:szCs w:val="22"/>
        </w:rPr>
        <w:t>0</w:t>
      </w:r>
      <w:r w:rsidR="007037EA">
        <w:rPr>
          <w:rFonts w:ascii="Arial" w:hAnsi="Arial" w:cs="Arial"/>
          <w:sz w:val="22"/>
          <w:szCs w:val="22"/>
        </w:rPr>
        <w:t>.</w:t>
      </w:r>
      <w:r w:rsidR="00D13471">
        <w:rPr>
          <w:rFonts w:ascii="Arial" w:hAnsi="Arial" w:cs="Arial"/>
          <w:sz w:val="22"/>
          <w:szCs w:val="22"/>
        </w:rPr>
        <w:t xml:space="preserve"> Čas plnění zahrnuje </w:t>
      </w:r>
      <w:r w:rsidR="00DB1F75">
        <w:rPr>
          <w:rFonts w:ascii="Arial" w:hAnsi="Arial" w:cs="Arial"/>
          <w:sz w:val="22"/>
          <w:szCs w:val="22"/>
        </w:rPr>
        <w:t>8 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57B825C9" w14:textId="57EC846B" w:rsidR="00841A91" w:rsidRDefault="00841A91" w:rsidP="00165631">
      <w:pPr>
        <w:pStyle w:val="Zkladntextodsazen"/>
        <w:tabs>
          <w:tab w:val="left" w:pos="567"/>
        </w:tabs>
        <w:spacing w:line="260" w:lineRule="exact"/>
        <w:jc w:val="both"/>
        <w:rPr>
          <w:rFonts w:ascii="Arial" w:hAnsi="Arial" w:cs="Arial"/>
          <w:b/>
          <w:sz w:val="22"/>
          <w:szCs w:val="22"/>
        </w:rPr>
      </w:pPr>
    </w:p>
    <w:p w14:paraId="14856E4F"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5DE592E8" w14:textId="6F48CB24"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8F7485" w:rsidRPr="008F7485">
        <w:rPr>
          <w:rFonts w:ascii="Arial" w:hAnsi="Arial" w:cs="Arial"/>
          <w:b/>
          <w:sz w:val="22"/>
          <w:szCs w:val="22"/>
        </w:rPr>
        <w:t>)</w:t>
      </w:r>
    </w:p>
    <w:p w14:paraId="4B41AFB0" w14:textId="77777777" w:rsidR="00660E44" w:rsidRPr="005C477F" w:rsidRDefault="00660E44" w:rsidP="00660E44">
      <w:pPr>
        <w:pStyle w:val="Zkladntextodsazen"/>
        <w:spacing w:line="260" w:lineRule="exact"/>
        <w:jc w:val="both"/>
        <w:rPr>
          <w:rFonts w:ascii="Arial" w:hAnsi="Arial" w:cs="Arial"/>
          <w:sz w:val="22"/>
          <w:szCs w:val="22"/>
        </w:rPr>
      </w:pPr>
    </w:p>
    <w:p w14:paraId="31FDD1DF" w14:textId="02E2B04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proofErr w:type="gramStart"/>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roofErr w:type="gramEnd"/>
    </w:p>
    <w:p w14:paraId="7169372B" w14:textId="45CC7FC6"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proofErr w:type="gramStart"/>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proofErr w:type="gramEnd"/>
      <w:r w:rsidRPr="00AD437B">
        <w:rPr>
          <w:rFonts w:ascii="Arial" w:hAnsi="Arial" w:cs="Arial"/>
          <w:b/>
          <w:sz w:val="22"/>
          <w:szCs w:val="22"/>
        </w:rPr>
        <w:t xml:space="preserve"> Kč</w:t>
      </w:r>
    </w:p>
    <w:p w14:paraId="6C7660AF" w14:textId="0B684E43"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proofErr w:type="gramStart"/>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proofErr w:type="gramEnd"/>
      <w:r w:rsidR="00AD437B" w:rsidRPr="00AD437B">
        <w:rPr>
          <w:rFonts w:ascii="Arial" w:hAnsi="Arial" w:cs="Arial"/>
          <w:b/>
          <w:sz w:val="22"/>
          <w:szCs w:val="22"/>
        </w:rPr>
        <w:t xml:space="preserve"> Kč</w:t>
      </w:r>
    </w:p>
    <w:p w14:paraId="1468015A" w14:textId="77777777" w:rsidR="00AD437B" w:rsidRPr="00885EAF" w:rsidRDefault="00AD437B" w:rsidP="00AD437B">
      <w:pPr>
        <w:pStyle w:val="Zkladntextodsazen"/>
        <w:spacing w:line="260" w:lineRule="exact"/>
        <w:jc w:val="both"/>
        <w:rPr>
          <w:rFonts w:ascii="Arial" w:hAnsi="Arial" w:cs="Arial"/>
          <w:bCs/>
          <w:sz w:val="22"/>
          <w:szCs w:val="22"/>
        </w:rPr>
      </w:pPr>
    </w:p>
    <w:p w14:paraId="7508A332" w14:textId="6BD78F6B"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proofErr w:type="gramEnd"/>
      <w:r w:rsidR="005271B6">
        <w:rPr>
          <w:rFonts w:ascii="Arial" w:hAnsi="Arial" w:cs="Arial"/>
          <w:bCs/>
          <w:sz w:val="22"/>
          <w:szCs w:val="22"/>
        </w:rPr>
        <w:t xml:space="preserve"> českých</w:t>
      </w:r>
      <w:r w:rsidR="002F70B3">
        <w:rPr>
          <w:rFonts w:ascii="Arial" w:hAnsi="Arial" w:cs="Arial"/>
          <w:bCs/>
          <w:sz w:val="22"/>
          <w:szCs w:val="22"/>
        </w:rPr>
        <w:t>)</w:t>
      </w:r>
    </w:p>
    <w:p w14:paraId="6769BCA2" w14:textId="77777777" w:rsidR="00E81457" w:rsidRDefault="00E81457" w:rsidP="00885EAF">
      <w:pPr>
        <w:pStyle w:val="Zkladntextodsazen"/>
        <w:spacing w:line="260" w:lineRule="exact"/>
        <w:jc w:val="both"/>
        <w:rPr>
          <w:rFonts w:ascii="Arial" w:hAnsi="Arial" w:cs="Arial"/>
          <w:sz w:val="22"/>
          <w:szCs w:val="22"/>
        </w:rPr>
      </w:pPr>
    </w:p>
    <w:p w14:paraId="5E767C46"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395"/>
        <w:gridCol w:w="1537"/>
        <w:gridCol w:w="1536"/>
        <w:gridCol w:w="1382"/>
        <w:gridCol w:w="1645"/>
      </w:tblGrid>
      <w:tr w:rsidR="00E121E5" w:rsidRPr="00E415A5" w14:paraId="60F59217" w14:textId="77777777"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28A7914"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5539A1B"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34BCD3C"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4E0D55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70A765B4"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47E2BE95"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47F2652E"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392073F9"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2D0DDE44" w14:textId="351A4BFC"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0814A322" w14:textId="6ED1A0E2"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1AC30D52" w14:textId="064466D6" w:rsidR="00E121E5" w:rsidRPr="00451817" w:rsidRDefault="00E121E5" w:rsidP="003D4B5D">
            <w:pPr>
              <w:jc w:val="center"/>
              <w:rPr>
                <w:rFonts w:ascii="Arial" w:hAnsi="Arial" w:cs="Arial"/>
                <w:bCs/>
              </w:rPr>
            </w:pPr>
          </w:p>
        </w:tc>
      </w:tr>
      <w:tr w:rsidR="00E121E5" w:rsidRPr="00451817" w14:paraId="24616608"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60B63205" w14:textId="77777777"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48A9C621" w14:textId="40BF9454" w:rsidR="00E121E5" w:rsidRPr="00451817" w:rsidRDefault="00DB1F75" w:rsidP="00437C2F">
            <w:pPr>
              <w:jc w:val="center"/>
              <w:rPr>
                <w:rFonts w:ascii="Arial" w:hAnsi="Arial" w:cs="Arial"/>
                <w:bCs/>
              </w:rPr>
            </w:pPr>
            <w:r>
              <w:rPr>
                <w:rFonts w:ascii="Arial" w:hAnsi="Arial" w:cs="Arial"/>
                <w:bCs/>
              </w:rPr>
              <w:t>8</w:t>
            </w:r>
          </w:p>
        </w:tc>
        <w:tc>
          <w:tcPr>
            <w:tcW w:w="809" w:type="pct"/>
            <w:tcBorders>
              <w:top w:val="dotted" w:sz="4" w:space="0" w:color="auto"/>
              <w:bottom w:val="dotted" w:sz="4" w:space="0" w:color="auto"/>
            </w:tcBorders>
            <w:shd w:val="clear" w:color="auto" w:fill="FFFFFF"/>
            <w:vAlign w:val="center"/>
          </w:tcPr>
          <w:p w14:paraId="3422B170" w14:textId="2937319D"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1FDDA2C" w14:textId="4F23BF04"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2A7A492" w14:textId="3E8FFAB2" w:rsidR="00E121E5" w:rsidRPr="00451817" w:rsidRDefault="00E121E5" w:rsidP="003D4B5D">
            <w:pPr>
              <w:jc w:val="center"/>
              <w:rPr>
                <w:rFonts w:ascii="Arial" w:hAnsi="Arial" w:cs="Arial"/>
                <w:bCs/>
              </w:rPr>
            </w:pPr>
          </w:p>
        </w:tc>
      </w:tr>
      <w:tr w:rsidR="00E121E5" w:rsidRPr="00451817" w14:paraId="205B7BF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47941773" w14:textId="77777777"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14:paraId="175468C0"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14:paraId="1C435CA7" w14:textId="2DC141A6"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5F463068" w14:textId="0EC8149E"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22BBF966" w14:textId="3738386F" w:rsidR="00E121E5" w:rsidRPr="00451817" w:rsidRDefault="00E121E5" w:rsidP="003D4B5D">
            <w:pPr>
              <w:jc w:val="center"/>
              <w:rPr>
                <w:rFonts w:ascii="Arial" w:hAnsi="Arial" w:cs="Arial"/>
                <w:bCs/>
              </w:rPr>
            </w:pPr>
          </w:p>
        </w:tc>
      </w:tr>
      <w:tr w:rsidR="00E121E5" w:rsidRPr="00E415A5" w14:paraId="3F325DE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70AECE19"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tcPr>
          <w:p w14:paraId="7D259774" w14:textId="77777777" w:rsidR="00E121E5" w:rsidRPr="00E415A5" w:rsidRDefault="00E121E5" w:rsidP="003D4B5D">
            <w:pPr>
              <w:jc w:val="center"/>
              <w:rPr>
                <w:rFonts w:ascii="Arial" w:hAnsi="Arial" w:cs="Arial"/>
                <w:b/>
                <w:bCs/>
              </w:rPr>
            </w:pPr>
          </w:p>
        </w:tc>
        <w:tc>
          <w:tcPr>
            <w:tcW w:w="809" w:type="pct"/>
            <w:tcBorders>
              <w:top w:val="dotted" w:sz="4" w:space="0" w:color="auto"/>
            </w:tcBorders>
            <w:shd w:val="clear" w:color="auto" w:fill="99CCFF"/>
            <w:vAlign w:val="center"/>
          </w:tcPr>
          <w:p w14:paraId="26303F71" w14:textId="67C77094"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14:paraId="23FEA719" w14:textId="6F59ABEB"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14:paraId="7B5D23C6" w14:textId="6135C511" w:rsidR="00E121E5" w:rsidRPr="00E415A5" w:rsidRDefault="00E121E5" w:rsidP="003D4B5D">
            <w:pPr>
              <w:jc w:val="center"/>
              <w:rPr>
                <w:rFonts w:ascii="Arial" w:hAnsi="Arial" w:cs="Arial"/>
                <w:b/>
                <w:bCs/>
              </w:rPr>
            </w:pPr>
          </w:p>
        </w:tc>
      </w:tr>
    </w:tbl>
    <w:p w14:paraId="20B46818" w14:textId="77777777" w:rsidR="00E81457" w:rsidRDefault="00E81457" w:rsidP="00885EAF">
      <w:pPr>
        <w:pStyle w:val="Zkladntextodsazen"/>
        <w:spacing w:line="260" w:lineRule="exact"/>
        <w:jc w:val="both"/>
        <w:rPr>
          <w:rFonts w:ascii="Arial" w:hAnsi="Arial" w:cs="Arial"/>
          <w:sz w:val="22"/>
          <w:szCs w:val="22"/>
        </w:rPr>
      </w:pPr>
    </w:p>
    <w:p w14:paraId="440A36F6"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56EB57D4" w14:textId="77777777" w:rsidR="004C0555" w:rsidRPr="005C477F" w:rsidRDefault="004C0555" w:rsidP="00F13154">
      <w:pPr>
        <w:pStyle w:val="Zkladntextodsazen"/>
        <w:spacing w:line="260" w:lineRule="exact"/>
        <w:jc w:val="both"/>
        <w:rPr>
          <w:rFonts w:ascii="Arial" w:hAnsi="Arial" w:cs="Arial"/>
          <w:sz w:val="22"/>
          <w:szCs w:val="22"/>
        </w:rPr>
      </w:pPr>
    </w:p>
    <w:p w14:paraId="1D953F67"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C50E94" w:rsidRPr="007737B3">
        <w:rPr>
          <w:rFonts w:ascii="Arial" w:hAnsi="Arial" w:cs="Arial"/>
          <w:sz w:val="22"/>
          <w:szCs w:val="22"/>
        </w:rPr>
        <w:t>bodu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p>
    <w:p w14:paraId="01AE0EAA" w14:textId="77777777" w:rsidR="003149F6" w:rsidRPr="005C477F" w:rsidRDefault="003149F6" w:rsidP="00F13154">
      <w:pPr>
        <w:pStyle w:val="Zkladntextodsazen"/>
        <w:spacing w:line="260" w:lineRule="exact"/>
        <w:jc w:val="both"/>
        <w:rPr>
          <w:rFonts w:ascii="Arial" w:hAnsi="Arial" w:cs="Arial"/>
          <w:sz w:val="22"/>
          <w:szCs w:val="22"/>
        </w:rPr>
      </w:pPr>
    </w:p>
    <w:p w14:paraId="0D7544BC" w14:textId="77777777"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AD437B">
        <w:rPr>
          <w:rFonts w:ascii="Arial" w:hAnsi="Arial" w:cs="Arial"/>
          <w:sz w:val="22"/>
          <w:szCs w:val="22"/>
        </w:rPr>
        <w:t xml:space="preserve">(faktur) </w:t>
      </w:r>
      <w:r w:rsidR="0083590F">
        <w:rPr>
          <w:rFonts w:ascii="Arial" w:hAnsi="Arial" w:cs="Arial"/>
          <w:sz w:val="22"/>
          <w:szCs w:val="22"/>
        </w:rPr>
        <w:t>v těchto etapách:</w:t>
      </w:r>
    </w:p>
    <w:p w14:paraId="66DAA3E2" w14:textId="77777777"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6CCDFFCC" w14:textId="30E6BAD5"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35DB282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339F2692" w14:textId="77777777" w:rsidR="00F22849" w:rsidRPr="00EA1E1F" w:rsidRDefault="00F22849" w:rsidP="00EA1E1F">
      <w:pPr>
        <w:rPr>
          <w:rFonts w:ascii="Arial" w:hAnsi="Arial" w:cs="Arial"/>
          <w:sz w:val="22"/>
          <w:szCs w:val="22"/>
        </w:rPr>
      </w:pPr>
    </w:p>
    <w:p w14:paraId="7B978BCC" w14:textId="6E85CF3A"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DB1F75" w:rsidRPr="002735E0">
        <w:rPr>
          <w:rFonts w:ascii="Arial" w:hAnsi="Arial" w:cs="Arial"/>
          <w:sz w:val="22"/>
          <w:szCs w:val="22"/>
        </w:rPr>
        <w:t xml:space="preserve">III/11244 </w:t>
      </w:r>
      <w:proofErr w:type="spellStart"/>
      <w:r w:rsidR="00DB1F75" w:rsidRPr="002735E0">
        <w:rPr>
          <w:rFonts w:ascii="Arial" w:hAnsi="Arial" w:cs="Arial"/>
          <w:sz w:val="22"/>
          <w:szCs w:val="22"/>
        </w:rPr>
        <w:t>Radňov</w:t>
      </w:r>
      <w:proofErr w:type="spellEnd"/>
      <w:r w:rsidR="00DB1F75" w:rsidRPr="002735E0">
        <w:rPr>
          <w:rFonts w:ascii="Arial" w:hAnsi="Arial" w:cs="Arial"/>
          <w:sz w:val="22"/>
          <w:szCs w:val="22"/>
        </w:rPr>
        <w:t>, statické zajištění silnice</w:t>
      </w:r>
      <w:r w:rsidR="00F62173" w:rsidRPr="00841A91">
        <w:rPr>
          <w:rFonts w:ascii="Arial" w:hAnsi="Arial" w:cs="Arial"/>
          <w:sz w:val="22"/>
          <w:szCs w:val="22"/>
        </w:rPr>
        <w:t>.</w:t>
      </w:r>
    </w:p>
    <w:p w14:paraId="11764459"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0128C7DA" w14:textId="77777777" w:rsidR="007037EA" w:rsidRPr="005064E5" w:rsidRDefault="007037EA" w:rsidP="005064E5">
      <w:pPr>
        <w:rPr>
          <w:rFonts w:ascii="Arial" w:hAnsi="Arial" w:cs="Arial"/>
          <w:sz w:val="22"/>
          <w:szCs w:val="22"/>
        </w:rPr>
      </w:pPr>
    </w:p>
    <w:p w14:paraId="1487AE8B" w14:textId="7D931A64"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343FD4C1" w14:textId="77777777" w:rsidR="005C477F" w:rsidRPr="005C477F" w:rsidRDefault="005C477F" w:rsidP="00F13154">
      <w:pPr>
        <w:pStyle w:val="Zkladntextodsazen"/>
        <w:spacing w:line="260" w:lineRule="exact"/>
        <w:jc w:val="both"/>
        <w:rPr>
          <w:rFonts w:ascii="Arial" w:hAnsi="Arial" w:cs="Arial"/>
          <w:sz w:val="22"/>
          <w:szCs w:val="22"/>
        </w:rPr>
      </w:pPr>
    </w:p>
    <w:p w14:paraId="0FD1AF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7A3F8549" w14:textId="77777777" w:rsidR="003C7900" w:rsidRPr="003C7900" w:rsidRDefault="003C7900" w:rsidP="003C7900">
      <w:pPr>
        <w:pStyle w:val="Zkladntextodsazen"/>
        <w:spacing w:line="260" w:lineRule="exact"/>
        <w:jc w:val="both"/>
        <w:rPr>
          <w:rFonts w:ascii="Arial" w:hAnsi="Arial" w:cs="Arial"/>
          <w:sz w:val="22"/>
          <w:szCs w:val="22"/>
        </w:rPr>
      </w:pPr>
    </w:p>
    <w:p w14:paraId="71E935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AAF6D53" w14:textId="77777777" w:rsidR="005C477F" w:rsidRPr="005C477F" w:rsidRDefault="005C477F" w:rsidP="00F13154">
      <w:pPr>
        <w:pStyle w:val="Zkladntextodsazen"/>
        <w:spacing w:line="260" w:lineRule="exact"/>
        <w:jc w:val="both"/>
        <w:rPr>
          <w:rFonts w:ascii="Arial" w:hAnsi="Arial" w:cs="Arial"/>
          <w:sz w:val="22"/>
          <w:szCs w:val="22"/>
        </w:rPr>
      </w:pPr>
    </w:p>
    <w:p w14:paraId="5701B73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77DF4778" w14:textId="77777777" w:rsidR="005C477F" w:rsidRPr="005C477F" w:rsidRDefault="005C477F" w:rsidP="00F13154">
      <w:pPr>
        <w:pStyle w:val="Zkladntextodsazen"/>
        <w:spacing w:line="260" w:lineRule="exact"/>
        <w:jc w:val="both"/>
        <w:rPr>
          <w:rFonts w:ascii="Arial" w:hAnsi="Arial" w:cs="Arial"/>
          <w:sz w:val="22"/>
          <w:szCs w:val="22"/>
        </w:rPr>
      </w:pPr>
    </w:p>
    <w:p w14:paraId="4BC5BC28"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14:paraId="7BD02438" w14:textId="77777777" w:rsidR="005C477F" w:rsidRPr="005C477F" w:rsidRDefault="005C477F" w:rsidP="00F13154">
      <w:pPr>
        <w:pStyle w:val="Zkladntextodsazen"/>
        <w:spacing w:line="260" w:lineRule="exact"/>
        <w:jc w:val="both"/>
        <w:rPr>
          <w:rFonts w:ascii="Arial" w:hAnsi="Arial" w:cs="Arial"/>
          <w:sz w:val="22"/>
          <w:szCs w:val="22"/>
        </w:rPr>
      </w:pPr>
    </w:p>
    <w:p w14:paraId="586F6AAE" w14:textId="291EDBE5"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1CFE222F" w14:textId="77777777" w:rsidR="00415A67" w:rsidRPr="00841A91" w:rsidRDefault="00415A67" w:rsidP="00415A67">
      <w:pPr>
        <w:pStyle w:val="Zkladntextodsazen"/>
        <w:spacing w:line="260" w:lineRule="exact"/>
        <w:jc w:val="both"/>
        <w:rPr>
          <w:rFonts w:ascii="Arial" w:hAnsi="Arial" w:cs="Arial"/>
          <w:sz w:val="22"/>
          <w:szCs w:val="22"/>
        </w:rPr>
      </w:pPr>
    </w:p>
    <w:p w14:paraId="5C721EB1" w14:textId="77777777" w:rsidR="00C750F0" w:rsidRPr="005A444E" w:rsidRDefault="00C750F0" w:rsidP="005064E5">
      <w:pPr>
        <w:pStyle w:val="Zkladntextodsazen"/>
        <w:spacing w:line="260" w:lineRule="exact"/>
        <w:jc w:val="both"/>
        <w:rPr>
          <w:rFonts w:ascii="Arial" w:hAnsi="Arial"/>
          <w:sz w:val="22"/>
        </w:rPr>
      </w:pPr>
    </w:p>
    <w:p w14:paraId="0CCF4909"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0731956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143DF7B9" w14:textId="77777777" w:rsidR="00392621" w:rsidRPr="005C477F" w:rsidRDefault="00392621" w:rsidP="00F13154">
      <w:pPr>
        <w:pStyle w:val="Zkladntextodsazen"/>
        <w:spacing w:line="260" w:lineRule="exact"/>
        <w:jc w:val="both"/>
        <w:rPr>
          <w:rFonts w:ascii="Arial" w:hAnsi="Arial" w:cs="Arial"/>
          <w:sz w:val="22"/>
          <w:szCs w:val="22"/>
        </w:rPr>
      </w:pPr>
    </w:p>
    <w:p w14:paraId="2855437C" w14:textId="2185A18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1E927137" w14:textId="67EB7555"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35995DB7"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57ACF53E" w14:textId="77777777" w:rsidR="00392621" w:rsidRPr="005C477F" w:rsidRDefault="00392621" w:rsidP="005A444E">
      <w:pPr>
        <w:pStyle w:val="Zkladntextodsazen"/>
        <w:spacing w:line="260" w:lineRule="exact"/>
        <w:jc w:val="both"/>
        <w:rPr>
          <w:rFonts w:ascii="Arial" w:hAnsi="Arial" w:cs="Arial"/>
          <w:sz w:val="22"/>
          <w:szCs w:val="22"/>
        </w:rPr>
      </w:pPr>
    </w:p>
    <w:p w14:paraId="21493B78"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117B2C4F"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D5F91A4"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16630A3C"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2772F0BE" w14:textId="396A3942" w:rsidR="00841A91" w:rsidRPr="003363B6" w:rsidRDefault="0095760F" w:rsidP="003363B6">
      <w:pPr>
        <w:pStyle w:val="Zkladntextodsazen"/>
        <w:numPr>
          <w:ilvl w:val="1"/>
          <w:numId w:val="5"/>
        </w:numPr>
        <w:tabs>
          <w:tab w:val="left" w:pos="567"/>
        </w:tabs>
        <w:spacing w:line="260" w:lineRule="exact"/>
        <w:ind w:left="0" w:firstLine="0"/>
        <w:jc w:val="both"/>
        <w:rPr>
          <w:rFonts w:ascii="Arial" w:hAnsi="Arial"/>
          <w:sz w:val="22"/>
        </w:rPr>
      </w:pPr>
      <w:r w:rsidRPr="00841A91">
        <w:rPr>
          <w:rFonts w:ascii="Arial" w:hAnsi="Arial" w:cs="Arial"/>
          <w:sz w:val="22"/>
          <w:szCs w:val="22"/>
        </w:rPr>
        <w:t>Dle § 2</w:t>
      </w:r>
      <w:r w:rsidR="007311D2">
        <w:rPr>
          <w:rFonts w:ascii="Arial" w:hAnsi="Arial" w:cs="Arial"/>
          <w:sz w:val="22"/>
          <w:szCs w:val="22"/>
        </w:rPr>
        <w:t xml:space="preserve"> odst. </w:t>
      </w:r>
      <w:r w:rsidRPr="00841A91">
        <w:rPr>
          <w:rFonts w:ascii="Arial" w:hAnsi="Arial" w:cs="Arial"/>
          <w:sz w:val="22"/>
          <w:szCs w:val="22"/>
        </w:rPr>
        <w:t xml:space="preserve">e) zákona č. 320/2001 Sb., o finanční kontrole, </w:t>
      </w:r>
      <w:r w:rsidR="00F64413">
        <w:rPr>
          <w:rFonts w:ascii="Arial" w:hAnsi="Arial" w:cs="Arial"/>
          <w:sz w:val="22"/>
          <w:szCs w:val="22"/>
        </w:rPr>
        <w:t>ve znění pozdějších předpisů</w:t>
      </w:r>
      <w:r w:rsidR="007311D2">
        <w:rPr>
          <w:rFonts w:ascii="Arial" w:hAnsi="Arial" w:cs="Arial"/>
          <w:sz w:val="22"/>
          <w:szCs w:val="22"/>
        </w:rPr>
        <w:t>,</w:t>
      </w:r>
      <w:r w:rsidR="00F64413">
        <w:rPr>
          <w:rFonts w:ascii="Arial" w:hAnsi="Arial" w:cs="Arial"/>
          <w:sz w:val="22"/>
          <w:szCs w:val="22"/>
        </w:rPr>
        <w:t xml:space="preserve">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48DABF8"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3A0B1539"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5639F429"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7EE0084A" w14:textId="217F9304"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7C1F77C0" w14:textId="77777777" w:rsidR="00841A91" w:rsidRPr="00165631" w:rsidRDefault="00841A91" w:rsidP="00165631">
      <w:pPr>
        <w:spacing w:line="260" w:lineRule="exact"/>
        <w:rPr>
          <w:rFonts w:ascii="Arial" w:hAnsi="Arial" w:cs="Arial"/>
          <w:b/>
          <w:sz w:val="22"/>
          <w:szCs w:val="22"/>
        </w:rPr>
      </w:pPr>
    </w:p>
    <w:p w14:paraId="73AAFC63"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lastRenderedPageBreak/>
        <w:t>Článek 8 – Sankce</w:t>
      </w:r>
    </w:p>
    <w:p w14:paraId="01A14566"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22F00F08" w14:textId="77777777" w:rsidR="009B17E5" w:rsidRPr="009B17E5" w:rsidRDefault="009B17E5" w:rsidP="009B17E5">
      <w:pPr>
        <w:pStyle w:val="Zkladntextodsazen"/>
        <w:spacing w:line="260" w:lineRule="exact"/>
        <w:jc w:val="both"/>
        <w:rPr>
          <w:rFonts w:ascii="Arial" w:hAnsi="Arial" w:cs="Arial"/>
          <w:sz w:val="22"/>
          <w:szCs w:val="22"/>
        </w:rPr>
      </w:pPr>
    </w:p>
    <w:p w14:paraId="6E7D697D"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14:paraId="5C44E5F8" w14:textId="77777777" w:rsidR="00F346AC" w:rsidRPr="005C477F" w:rsidRDefault="00F346AC" w:rsidP="00F13154">
      <w:pPr>
        <w:pStyle w:val="Zkladntextodsazen"/>
        <w:spacing w:line="260" w:lineRule="exact"/>
        <w:jc w:val="both"/>
        <w:rPr>
          <w:rFonts w:ascii="Arial" w:hAnsi="Arial" w:cs="Arial"/>
          <w:sz w:val="22"/>
        </w:rPr>
      </w:pPr>
    </w:p>
    <w:p w14:paraId="5A373F92"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148EB422" w14:textId="77777777" w:rsidR="0000132A" w:rsidRPr="005064E5" w:rsidRDefault="0000132A" w:rsidP="005064E5">
      <w:pPr>
        <w:spacing w:line="260" w:lineRule="exact"/>
        <w:rPr>
          <w:rFonts w:ascii="Arial" w:hAnsi="Arial" w:cs="Arial"/>
          <w:sz w:val="22"/>
          <w:szCs w:val="22"/>
        </w:rPr>
      </w:pPr>
    </w:p>
    <w:p w14:paraId="41A14C00"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0DC24BE" w14:textId="2760DBE0" w:rsidR="00841A91" w:rsidRPr="00165631" w:rsidRDefault="00841A91" w:rsidP="00165631">
      <w:pPr>
        <w:spacing w:line="260" w:lineRule="exact"/>
        <w:rPr>
          <w:rFonts w:ascii="Arial" w:hAnsi="Arial" w:cs="Arial"/>
          <w:b/>
          <w:sz w:val="22"/>
          <w:szCs w:val="22"/>
        </w:rPr>
      </w:pPr>
    </w:p>
    <w:p w14:paraId="3F8296FB"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FE6F986"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2AFF3118" w14:textId="77777777"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14:paraId="1B0B2E07" w14:textId="6A80F17C"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w:t>
      </w:r>
      <w:bookmarkStart w:id="0" w:name="_GoBack"/>
      <w:bookmarkEnd w:id="0"/>
      <w:r w:rsidR="00F346AC" w:rsidRPr="005C477F">
        <w:rPr>
          <w:rFonts w:ascii="Arial" w:hAnsi="Arial" w:cs="Arial"/>
          <w:sz w:val="22"/>
          <w:szCs w:val="22"/>
        </w:rPr>
        <w:t>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14:paraId="16F180E3" w14:textId="6456C34B"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F8EF174" w14:textId="63C9D99E" w:rsidR="003363B6" w:rsidRDefault="003363B6" w:rsidP="003363B6">
      <w:pPr>
        <w:pStyle w:val="Zkladntextodsazen"/>
        <w:tabs>
          <w:tab w:val="left" w:pos="567"/>
        </w:tabs>
        <w:spacing w:line="260" w:lineRule="exact"/>
        <w:jc w:val="both"/>
        <w:rPr>
          <w:rFonts w:ascii="Arial" w:hAnsi="Arial" w:cs="Arial"/>
          <w:sz w:val="22"/>
          <w:szCs w:val="22"/>
        </w:rPr>
      </w:pPr>
    </w:p>
    <w:p w14:paraId="51AE6D3F" w14:textId="646F6A16" w:rsidR="00C22BD0" w:rsidRDefault="00C22BD0">
      <w:pPr>
        <w:suppressAutoHyphens w:val="0"/>
        <w:rPr>
          <w:rFonts w:ascii="Arial" w:hAnsi="Arial" w:cs="Arial"/>
          <w:sz w:val="22"/>
          <w:szCs w:val="22"/>
        </w:rPr>
      </w:pPr>
    </w:p>
    <w:p w14:paraId="3A28E1F2"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6BE3C911"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1CA57535"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128E389D"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751EA803" w14:textId="77777777" w:rsidR="00343D1F" w:rsidRPr="005C477F" w:rsidRDefault="00343D1F" w:rsidP="00F13154">
      <w:pPr>
        <w:pStyle w:val="Zkladntextodsazen"/>
        <w:tabs>
          <w:tab w:val="left" w:pos="567"/>
        </w:tabs>
        <w:spacing w:line="260" w:lineRule="exact"/>
        <w:jc w:val="both"/>
      </w:pPr>
    </w:p>
    <w:p w14:paraId="34207825"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5CAE036C"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1AC63A3A"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41B47D71"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443D1EA2" w14:textId="0487535F"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zadavatel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77CD0ABC" w14:textId="77777777" w:rsidR="005E599F" w:rsidRPr="005064E5" w:rsidRDefault="005E599F" w:rsidP="005064E5">
      <w:pPr>
        <w:rPr>
          <w:rFonts w:ascii="Arial" w:hAnsi="Arial" w:cs="Arial"/>
          <w:sz w:val="22"/>
          <w:szCs w:val="22"/>
        </w:rPr>
      </w:pPr>
    </w:p>
    <w:p w14:paraId="1021BEFE"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79A8D0F0" w14:textId="77777777" w:rsidR="005E599F" w:rsidRPr="005064E5" w:rsidRDefault="005E599F" w:rsidP="005064E5">
      <w:pPr>
        <w:rPr>
          <w:rFonts w:ascii="Arial" w:hAnsi="Arial" w:cs="Arial"/>
          <w:sz w:val="22"/>
          <w:szCs w:val="22"/>
        </w:rPr>
      </w:pPr>
    </w:p>
    <w:p w14:paraId="5C649001"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14:paraId="18F56A48" w14:textId="77777777" w:rsidR="00A06DA0" w:rsidRPr="005064E5" w:rsidRDefault="00A06DA0" w:rsidP="005064E5">
      <w:pPr>
        <w:rPr>
          <w:rFonts w:ascii="Arial" w:hAnsi="Arial" w:cs="Arial"/>
          <w:sz w:val="22"/>
          <w:szCs w:val="22"/>
        </w:rPr>
      </w:pPr>
    </w:p>
    <w:p w14:paraId="19FAFF8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4D2ADBA7" w14:textId="77777777" w:rsidR="00A06DA0" w:rsidRPr="005064E5" w:rsidRDefault="00A06DA0" w:rsidP="005064E5">
      <w:pPr>
        <w:rPr>
          <w:rFonts w:ascii="Arial" w:hAnsi="Arial" w:cs="Arial"/>
          <w:sz w:val="22"/>
          <w:szCs w:val="22"/>
        </w:rPr>
      </w:pPr>
    </w:p>
    <w:p w14:paraId="0039732F" w14:textId="3B000182"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zvláštních podmínkách účinnosti některých smluv, uveřejňování těchto smluv a o registru smluv (zákon o registru smluv)</w:t>
      </w:r>
      <w:r w:rsidR="009C0426">
        <w:rPr>
          <w:rFonts w:ascii="Arial" w:hAnsi="Arial" w:cs="Arial"/>
          <w:sz w:val="22"/>
          <w:szCs w:val="22"/>
        </w:rPr>
        <w:t>,</w:t>
      </w:r>
      <w:r w:rsidRPr="005C1B65">
        <w:rPr>
          <w:rFonts w:ascii="Arial" w:hAnsi="Arial" w:cs="Arial"/>
          <w:sz w:val="22"/>
          <w:szCs w:val="22"/>
        </w:rPr>
        <w:t xml:space="preserve"> </w:t>
      </w:r>
      <w:r w:rsidR="00C6600E">
        <w:rPr>
          <w:rFonts w:ascii="Arial" w:hAnsi="Arial" w:cs="Arial"/>
          <w:sz w:val="22"/>
          <w:szCs w:val="22"/>
        </w:rPr>
        <w:t>ve znění pozdějších předpisů</w:t>
      </w:r>
      <w:r w:rsidR="009C0426">
        <w:rPr>
          <w:rFonts w:ascii="Arial" w:hAnsi="Arial" w:cs="Arial"/>
          <w:sz w:val="22"/>
          <w:szCs w:val="22"/>
        </w:rPr>
        <w:t>,</w:t>
      </w:r>
      <w:r w:rsidR="00C6600E">
        <w:rPr>
          <w:rFonts w:ascii="Arial" w:hAnsi="Arial" w:cs="Arial"/>
          <w:sz w:val="22"/>
          <w:szCs w:val="22"/>
        </w:rPr>
        <w:t xml:space="preserve">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7047990" w14:textId="77777777" w:rsidR="00392621" w:rsidRPr="005C477F" w:rsidRDefault="00392621" w:rsidP="00F13154">
      <w:pPr>
        <w:pStyle w:val="Zkladntextodsazen"/>
        <w:spacing w:line="260" w:lineRule="exact"/>
        <w:jc w:val="both"/>
        <w:rPr>
          <w:rFonts w:ascii="Arial" w:hAnsi="Arial" w:cs="Arial"/>
          <w:sz w:val="22"/>
          <w:szCs w:val="22"/>
        </w:rPr>
      </w:pPr>
    </w:p>
    <w:p w14:paraId="41B85897"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40A7946E" w14:textId="3182EB3B" w:rsidR="0081335A" w:rsidRDefault="0081335A" w:rsidP="0081335A">
      <w:pPr>
        <w:pStyle w:val="Zkladntextodsazen"/>
        <w:tabs>
          <w:tab w:val="left" w:pos="567"/>
        </w:tabs>
        <w:spacing w:line="260" w:lineRule="exact"/>
        <w:jc w:val="both"/>
        <w:rPr>
          <w:rFonts w:ascii="Arial" w:hAnsi="Arial" w:cs="Arial"/>
          <w:sz w:val="22"/>
          <w:szCs w:val="22"/>
        </w:rPr>
      </w:pPr>
    </w:p>
    <w:p w14:paraId="00EBBF64" w14:textId="77777777"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14:paraId="6F1A17F9" w14:textId="77777777" w:rsidR="005271B6" w:rsidRDefault="005271B6" w:rsidP="005271B6"/>
    <w:p w14:paraId="5716A895"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2193471D" w14:textId="77777777" w:rsidR="00AC3571" w:rsidRDefault="00AC3571" w:rsidP="00165631">
      <w:pPr>
        <w:pStyle w:val="Zkladntextodsazen"/>
        <w:tabs>
          <w:tab w:val="left" w:pos="5670"/>
        </w:tabs>
        <w:spacing w:line="260" w:lineRule="exact"/>
        <w:jc w:val="both"/>
        <w:rPr>
          <w:rFonts w:ascii="Arial" w:hAnsi="Arial" w:cs="Arial"/>
          <w:sz w:val="22"/>
          <w:szCs w:val="22"/>
        </w:rPr>
      </w:pPr>
    </w:p>
    <w:p w14:paraId="2A1BED57" w14:textId="77777777" w:rsidR="005064E5" w:rsidRDefault="005064E5" w:rsidP="00F13154">
      <w:pPr>
        <w:pStyle w:val="Zkladntextodsazen"/>
        <w:tabs>
          <w:tab w:val="left" w:pos="5670"/>
        </w:tabs>
        <w:spacing w:line="260" w:lineRule="exact"/>
        <w:jc w:val="both"/>
        <w:rPr>
          <w:rFonts w:ascii="Arial" w:hAnsi="Arial" w:cs="Arial"/>
          <w:sz w:val="22"/>
          <w:szCs w:val="22"/>
        </w:rPr>
      </w:pPr>
    </w:p>
    <w:p w14:paraId="0C6CF93A" w14:textId="2FA30E06"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14:paraId="4BA1D8A6" w14:textId="77777777" w:rsidR="0083590F" w:rsidRDefault="0083590F" w:rsidP="00F13154">
      <w:pPr>
        <w:pStyle w:val="Zkladntextodsazen"/>
        <w:spacing w:line="260" w:lineRule="exact"/>
        <w:jc w:val="both"/>
        <w:rPr>
          <w:rFonts w:ascii="Arial" w:hAnsi="Arial" w:cs="Arial"/>
          <w:b/>
          <w:sz w:val="22"/>
          <w:szCs w:val="22"/>
        </w:rPr>
      </w:pPr>
    </w:p>
    <w:p w14:paraId="1075FE4E" w14:textId="0210ECA9" w:rsidR="006D72BB" w:rsidRDefault="006D72BB" w:rsidP="00F13154">
      <w:pPr>
        <w:pStyle w:val="Zkladntextodsazen"/>
        <w:tabs>
          <w:tab w:val="left" w:pos="5670"/>
        </w:tabs>
        <w:spacing w:line="260" w:lineRule="exact"/>
        <w:jc w:val="both"/>
        <w:rPr>
          <w:rFonts w:ascii="Arial" w:hAnsi="Arial" w:cs="Arial"/>
          <w:b/>
          <w:sz w:val="22"/>
          <w:szCs w:val="22"/>
        </w:rPr>
      </w:pPr>
    </w:p>
    <w:p w14:paraId="5E53B874" w14:textId="662F9903" w:rsidR="00864E9C" w:rsidRDefault="00864E9C" w:rsidP="00F13154">
      <w:pPr>
        <w:pStyle w:val="Zkladntextodsazen"/>
        <w:tabs>
          <w:tab w:val="left" w:pos="5670"/>
        </w:tabs>
        <w:spacing w:line="260" w:lineRule="exact"/>
        <w:jc w:val="both"/>
        <w:rPr>
          <w:rFonts w:ascii="Arial" w:hAnsi="Arial" w:cs="Arial"/>
          <w:b/>
          <w:sz w:val="22"/>
          <w:szCs w:val="22"/>
        </w:rPr>
      </w:pPr>
    </w:p>
    <w:p w14:paraId="4B0DFCAE"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15ABC11C"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292F4300" w14:textId="5C8575D9" w:rsidR="002E18FC" w:rsidRPr="00165631" w:rsidRDefault="002E18FC" w:rsidP="00075B39">
      <w:pPr>
        <w:pStyle w:val="Zkladntextodsazen"/>
        <w:jc w:val="both"/>
        <w:rPr>
          <w:rFonts w:ascii="Arial" w:hAnsi="Arial" w:cs="Arial"/>
          <w:bCs/>
          <w:sz w:val="22"/>
          <w:szCs w:val="22"/>
        </w:rPr>
      </w:pPr>
    </w:p>
    <w:p w14:paraId="1BE388B5" w14:textId="77777777"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14:paraId="0300401B" w14:textId="77777777" w:rsidR="006544EA" w:rsidRDefault="006544EA" w:rsidP="006544EA">
      <w:pPr>
        <w:pStyle w:val="Zkladntextodsazen"/>
        <w:jc w:val="both"/>
        <w:rPr>
          <w:rFonts w:ascii="Arial" w:hAnsi="Arial" w:cs="Arial"/>
          <w:sz w:val="22"/>
          <w:szCs w:val="22"/>
        </w:rPr>
      </w:pPr>
      <w:r>
        <w:rPr>
          <w:rFonts w:ascii="Arial" w:hAnsi="Arial" w:cs="Arial"/>
          <w:sz w:val="22"/>
          <w:szCs w:val="22"/>
        </w:rPr>
        <w:t>člen rady kraje pro oblast</w:t>
      </w:r>
      <w:r w:rsidR="004F64FB">
        <w:rPr>
          <w:rFonts w:ascii="Arial" w:hAnsi="Arial" w:cs="Arial"/>
          <w:sz w:val="22"/>
          <w:szCs w:val="22"/>
        </w:rPr>
        <w:t xml:space="preserve"> dopravy</w:t>
      </w:r>
      <w:r>
        <w:rPr>
          <w:rFonts w:ascii="Arial" w:hAnsi="Arial" w:cs="Arial"/>
          <w:sz w:val="22"/>
          <w:szCs w:val="22"/>
        </w:rPr>
        <w:t xml:space="preserve"> </w:t>
      </w:r>
    </w:p>
    <w:p w14:paraId="3BA7EFB3" w14:textId="77777777" w:rsidR="00F2059F" w:rsidRPr="00951C80" w:rsidRDefault="006544EA" w:rsidP="004F64FB">
      <w:pPr>
        <w:pStyle w:val="Zkladntextodsazen"/>
        <w:jc w:val="both"/>
        <w:rPr>
          <w:rFonts w:ascii="Arial" w:hAnsi="Arial" w:cs="Arial"/>
          <w:bCs/>
          <w:sz w:val="22"/>
          <w:szCs w:val="22"/>
        </w:rPr>
      </w:pPr>
      <w:r w:rsidRPr="005A444E">
        <w:rPr>
          <w:rFonts w:ascii="Arial" w:hAnsi="Arial"/>
          <w:spacing w:val="-4"/>
          <w:sz w:val="22"/>
        </w:rPr>
        <w:t>a silničního hospodářství</w:t>
      </w:r>
      <w:r w:rsidR="00185CF6">
        <w:rPr>
          <w:rFonts w:ascii="Arial" w:hAnsi="Arial" w:cs="Arial"/>
          <w:bCs/>
          <w:sz w:val="22"/>
          <w:szCs w:val="22"/>
        </w:rPr>
        <w:tab/>
      </w:r>
    </w:p>
    <w:sectPr w:rsidR="00F2059F" w:rsidRPr="00951C80" w:rsidSect="009748A7">
      <w:headerReference w:type="default" r:id="rId8"/>
      <w:footerReference w:type="default" r:id="rId9"/>
      <w:headerReference w:type="first" r:id="rId10"/>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CA6C5" w14:textId="77777777" w:rsidR="00C3305A" w:rsidRDefault="00C3305A">
      <w:r>
        <w:separator/>
      </w:r>
    </w:p>
  </w:endnote>
  <w:endnote w:type="continuationSeparator" w:id="0">
    <w:p w14:paraId="3BBD1500" w14:textId="77777777" w:rsidR="00C3305A" w:rsidRDefault="00C3305A">
      <w:r>
        <w:continuationSeparator/>
      </w:r>
    </w:p>
  </w:endnote>
  <w:endnote w:type="continuationNotice" w:id="1">
    <w:p w14:paraId="016922C4" w14:textId="77777777" w:rsidR="00C3305A" w:rsidRDefault="00C330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0E3C" w14:textId="362139E5" w:rsidR="0083590F" w:rsidRDefault="0083590F" w:rsidP="00215361">
    <w:pPr>
      <w:pStyle w:val="Zpat"/>
      <w:jc w:val="center"/>
    </w:pPr>
    <w:r>
      <w:t xml:space="preserve">Strana </w:t>
    </w:r>
    <w:r>
      <w:fldChar w:fldCharType="begin"/>
    </w:r>
    <w:r>
      <w:instrText xml:space="preserve"> PAGE </w:instrText>
    </w:r>
    <w:r>
      <w:fldChar w:fldCharType="separate"/>
    </w:r>
    <w:r w:rsidR="00AA4B0D">
      <w:rPr>
        <w:noProof/>
      </w:rPr>
      <w:t>7</w:t>
    </w:r>
    <w:r>
      <w:fldChar w:fldCharType="end"/>
    </w:r>
    <w:r>
      <w:t xml:space="preserve"> (celkem </w:t>
    </w:r>
    <w:r w:rsidR="001D7736">
      <w:rPr>
        <w:noProof/>
      </w:rPr>
      <w:fldChar w:fldCharType="begin"/>
    </w:r>
    <w:r w:rsidR="001D7736">
      <w:rPr>
        <w:noProof/>
      </w:rPr>
      <w:instrText xml:space="preserve"> NUMPAGES </w:instrText>
    </w:r>
    <w:r w:rsidR="001D7736">
      <w:rPr>
        <w:noProof/>
      </w:rPr>
      <w:fldChar w:fldCharType="separate"/>
    </w:r>
    <w:r w:rsidR="00AA4B0D">
      <w:rPr>
        <w:noProof/>
      </w:rPr>
      <w:t>7</w:t>
    </w:r>
    <w:r w:rsidR="001D773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818E1" w14:textId="77777777" w:rsidR="00C3305A" w:rsidRDefault="00C3305A">
      <w:r>
        <w:separator/>
      </w:r>
    </w:p>
  </w:footnote>
  <w:footnote w:type="continuationSeparator" w:id="0">
    <w:p w14:paraId="56C46D90" w14:textId="77777777" w:rsidR="00C3305A" w:rsidRDefault="00C3305A">
      <w:r>
        <w:continuationSeparator/>
      </w:r>
    </w:p>
  </w:footnote>
  <w:footnote w:type="continuationNotice" w:id="1">
    <w:p w14:paraId="0B75AB04" w14:textId="77777777" w:rsidR="00C3305A" w:rsidRDefault="00C3305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9C8AC" w14:textId="77777777" w:rsidR="009B3416" w:rsidRDefault="009B341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77F7" w14:textId="2E5D5C55"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7E42E3F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6730857F" w14:textId="77777777" w:rsidR="00003393" w:rsidRPr="00327EA5" w:rsidRDefault="00003393" w:rsidP="00757C0D">
    <w:pPr>
      <w:pStyle w:val="Zhlav"/>
      <w:rPr>
        <w:rFonts w:ascii="Arial" w:hAnsi="Arial" w:cs="Arial"/>
        <w:sz w:val="18"/>
        <w:szCs w:val="18"/>
      </w:rPr>
    </w:pPr>
  </w:p>
  <w:p w14:paraId="4B7E4243"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AEE4FC4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ascii="Arial" w:hAnsi="Arial" w:cs="Arial"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125FF"/>
    <w:rsid w:val="0001289C"/>
    <w:rsid w:val="00015E63"/>
    <w:rsid w:val="00016A8D"/>
    <w:rsid w:val="00060801"/>
    <w:rsid w:val="0006285B"/>
    <w:rsid w:val="00066E1D"/>
    <w:rsid w:val="00070108"/>
    <w:rsid w:val="00075B39"/>
    <w:rsid w:val="00077C08"/>
    <w:rsid w:val="00077FC8"/>
    <w:rsid w:val="00080BD5"/>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17A2"/>
    <w:rsid w:val="000B463C"/>
    <w:rsid w:val="000B6530"/>
    <w:rsid w:val="000B6D0C"/>
    <w:rsid w:val="000B717E"/>
    <w:rsid w:val="000B7A5F"/>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593F"/>
    <w:rsid w:val="00156523"/>
    <w:rsid w:val="00165631"/>
    <w:rsid w:val="0016654A"/>
    <w:rsid w:val="001669DA"/>
    <w:rsid w:val="00185CF6"/>
    <w:rsid w:val="001A35DE"/>
    <w:rsid w:val="001A5A22"/>
    <w:rsid w:val="001C7CE9"/>
    <w:rsid w:val="001D7736"/>
    <w:rsid w:val="001E6F5A"/>
    <w:rsid w:val="001F09D0"/>
    <w:rsid w:val="001F4C5F"/>
    <w:rsid w:val="002018D0"/>
    <w:rsid w:val="002043F7"/>
    <w:rsid w:val="00207839"/>
    <w:rsid w:val="00215361"/>
    <w:rsid w:val="00225EFF"/>
    <w:rsid w:val="002262AB"/>
    <w:rsid w:val="00226C5B"/>
    <w:rsid w:val="00232774"/>
    <w:rsid w:val="00236C00"/>
    <w:rsid w:val="00240646"/>
    <w:rsid w:val="002419F9"/>
    <w:rsid w:val="00246F5D"/>
    <w:rsid w:val="00250ACB"/>
    <w:rsid w:val="00251506"/>
    <w:rsid w:val="0025157C"/>
    <w:rsid w:val="002663B5"/>
    <w:rsid w:val="00267EDD"/>
    <w:rsid w:val="00270D48"/>
    <w:rsid w:val="0027123D"/>
    <w:rsid w:val="002735E0"/>
    <w:rsid w:val="00273CAD"/>
    <w:rsid w:val="00291FE0"/>
    <w:rsid w:val="00295FB3"/>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007C"/>
    <w:rsid w:val="00322361"/>
    <w:rsid w:val="00327EA5"/>
    <w:rsid w:val="00332CB1"/>
    <w:rsid w:val="003363B6"/>
    <w:rsid w:val="0034345C"/>
    <w:rsid w:val="00343D1F"/>
    <w:rsid w:val="00354B3E"/>
    <w:rsid w:val="00356977"/>
    <w:rsid w:val="00363FE3"/>
    <w:rsid w:val="00364324"/>
    <w:rsid w:val="00366296"/>
    <w:rsid w:val="00367106"/>
    <w:rsid w:val="00367AA0"/>
    <w:rsid w:val="00371A6A"/>
    <w:rsid w:val="00373D6E"/>
    <w:rsid w:val="00380613"/>
    <w:rsid w:val="00383F30"/>
    <w:rsid w:val="00384542"/>
    <w:rsid w:val="0038739B"/>
    <w:rsid w:val="00387D0D"/>
    <w:rsid w:val="00392621"/>
    <w:rsid w:val="00393612"/>
    <w:rsid w:val="00397ECF"/>
    <w:rsid w:val="003A564F"/>
    <w:rsid w:val="003B2466"/>
    <w:rsid w:val="003B5092"/>
    <w:rsid w:val="003B7B85"/>
    <w:rsid w:val="003C6B0A"/>
    <w:rsid w:val="003C7900"/>
    <w:rsid w:val="003D10EA"/>
    <w:rsid w:val="003D664D"/>
    <w:rsid w:val="003D6A9A"/>
    <w:rsid w:val="003E016B"/>
    <w:rsid w:val="003E413F"/>
    <w:rsid w:val="003E480B"/>
    <w:rsid w:val="003E7487"/>
    <w:rsid w:val="003F1FBD"/>
    <w:rsid w:val="003F2D01"/>
    <w:rsid w:val="003F3567"/>
    <w:rsid w:val="0040084A"/>
    <w:rsid w:val="00400875"/>
    <w:rsid w:val="0040398A"/>
    <w:rsid w:val="00405707"/>
    <w:rsid w:val="00412D4A"/>
    <w:rsid w:val="00415A67"/>
    <w:rsid w:val="004207BD"/>
    <w:rsid w:val="004335B8"/>
    <w:rsid w:val="00435FB1"/>
    <w:rsid w:val="00437C2F"/>
    <w:rsid w:val="004517EA"/>
    <w:rsid w:val="00456256"/>
    <w:rsid w:val="00460D5B"/>
    <w:rsid w:val="00463257"/>
    <w:rsid w:val="00483688"/>
    <w:rsid w:val="004A6D7C"/>
    <w:rsid w:val="004B5275"/>
    <w:rsid w:val="004B630A"/>
    <w:rsid w:val="004C0555"/>
    <w:rsid w:val="004C28A2"/>
    <w:rsid w:val="004C3201"/>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27AC7"/>
    <w:rsid w:val="005325DB"/>
    <w:rsid w:val="00546369"/>
    <w:rsid w:val="00546C8A"/>
    <w:rsid w:val="00551562"/>
    <w:rsid w:val="005525F0"/>
    <w:rsid w:val="005549A7"/>
    <w:rsid w:val="00562413"/>
    <w:rsid w:val="00573151"/>
    <w:rsid w:val="0057766B"/>
    <w:rsid w:val="00580164"/>
    <w:rsid w:val="0058151D"/>
    <w:rsid w:val="00583332"/>
    <w:rsid w:val="0058750A"/>
    <w:rsid w:val="005A20E2"/>
    <w:rsid w:val="005A444E"/>
    <w:rsid w:val="005B0E26"/>
    <w:rsid w:val="005B16FB"/>
    <w:rsid w:val="005B5570"/>
    <w:rsid w:val="005C113F"/>
    <w:rsid w:val="005C477F"/>
    <w:rsid w:val="005C5877"/>
    <w:rsid w:val="005C6CDD"/>
    <w:rsid w:val="005D3DF3"/>
    <w:rsid w:val="005E3625"/>
    <w:rsid w:val="005E599F"/>
    <w:rsid w:val="005F2D80"/>
    <w:rsid w:val="005F3845"/>
    <w:rsid w:val="005F401A"/>
    <w:rsid w:val="0060639C"/>
    <w:rsid w:val="006142D7"/>
    <w:rsid w:val="006168C0"/>
    <w:rsid w:val="00621311"/>
    <w:rsid w:val="00622DE1"/>
    <w:rsid w:val="006243A9"/>
    <w:rsid w:val="00630210"/>
    <w:rsid w:val="006413F5"/>
    <w:rsid w:val="006418A4"/>
    <w:rsid w:val="006473B3"/>
    <w:rsid w:val="00650A61"/>
    <w:rsid w:val="00653F40"/>
    <w:rsid w:val="006544EA"/>
    <w:rsid w:val="00660E44"/>
    <w:rsid w:val="00662459"/>
    <w:rsid w:val="0066307D"/>
    <w:rsid w:val="00671467"/>
    <w:rsid w:val="006728BE"/>
    <w:rsid w:val="0067745A"/>
    <w:rsid w:val="00677904"/>
    <w:rsid w:val="00680A9D"/>
    <w:rsid w:val="0068471B"/>
    <w:rsid w:val="006946BF"/>
    <w:rsid w:val="0069689E"/>
    <w:rsid w:val="006A05D2"/>
    <w:rsid w:val="006A19EA"/>
    <w:rsid w:val="006A2289"/>
    <w:rsid w:val="006A52EB"/>
    <w:rsid w:val="006A56F6"/>
    <w:rsid w:val="006C635F"/>
    <w:rsid w:val="006D02EB"/>
    <w:rsid w:val="006D0F6E"/>
    <w:rsid w:val="006D1F46"/>
    <w:rsid w:val="006D455F"/>
    <w:rsid w:val="006D567F"/>
    <w:rsid w:val="006D72BB"/>
    <w:rsid w:val="006F0194"/>
    <w:rsid w:val="006F040D"/>
    <w:rsid w:val="006F1BE7"/>
    <w:rsid w:val="006F508A"/>
    <w:rsid w:val="006F5D8B"/>
    <w:rsid w:val="00701605"/>
    <w:rsid w:val="00701CE7"/>
    <w:rsid w:val="007037EA"/>
    <w:rsid w:val="007100DC"/>
    <w:rsid w:val="0071228A"/>
    <w:rsid w:val="00714A74"/>
    <w:rsid w:val="00722B0C"/>
    <w:rsid w:val="00724AAA"/>
    <w:rsid w:val="00727AC3"/>
    <w:rsid w:val="007301D4"/>
    <w:rsid w:val="007311D2"/>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97824"/>
    <w:rsid w:val="007A0D9F"/>
    <w:rsid w:val="007A673A"/>
    <w:rsid w:val="007A73B8"/>
    <w:rsid w:val="007C1572"/>
    <w:rsid w:val="007C1931"/>
    <w:rsid w:val="007C2A2F"/>
    <w:rsid w:val="007C78D3"/>
    <w:rsid w:val="007D0AF7"/>
    <w:rsid w:val="007D2790"/>
    <w:rsid w:val="007D52CC"/>
    <w:rsid w:val="007E0409"/>
    <w:rsid w:val="007E2094"/>
    <w:rsid w:val="007F3882"/>
    <w:rsid w:val="007F4D8D"/>
    <w:rsid w:val="007F5CF8"/>
    <w:rsid w:val="00801CF7"/>
    <w:rsid w:val="00806EF9"/>
    <w:rsid w:val="00811624"/>
    <w:rsid w:val="0081335A"/>
    <w:rsid w:val="00830556"/>
    <w:rsid w:val="00831549"/>
    <w:rsid w:val="0083590F"/>
    <w:rsid w:val="00836495"/>
    <w:rsid w:val="00840BD9"/>
    <w:rsid w:val="00841A91"/>
    <w:rsid w:val="00842515"/>
    <w:rsid w:val="00844077"/>
    <w:rsid w:val="00864AA1"/>
    <w:rsid w:val="00864E9C"/>
    <w:rsid w:val="00870C1D"/>
    <w:rsid w:val="0087352F"/>
    <w:rsid w:val="00885EAF"/>
    <w:rsid w:val="008911A7"/>
    <w:rsid w:val="008A23A6"/>
    <w:rsid w:val="008A6FDE"/>
    <w:rsid w:val="008B497A"/>
    <w:rsid w:val="008B543A"/>
    <w:rsid w:val="008C2348"/>
    <w:rsid w:val="008F211F"/>
    <w:rsid w:val="008F38EA"/>
    <w:rsid w:val="008F7485"/>
    <w:rsid w:val="0090230A"/>
    <w:rsid w:val="0090617B"/>
    <w:rsid w:val="0091224F"/>
    <w:rsid w:val="00914D06"/>
    <w:rsid w:val="0091550C"/>
    <w:rsid w:val="0091629E"/>
    <w:rsid w:val="00925B87"/>
    <w:rsid w:val="009267A4"/>
    <w:rsid w:val="00930E39"/>
    <w:rsid w:val="00935B8A"/>
    <w:rsid w:val="00951C80"/>
    <w:rsid w:val="00951DF6"/>
    <w:rsid w:val="0095760F"/>
    <w:rsid w:val="00960F66"/>
    <w:rsid w:val="0096249D"/>
    <w:rsid w:val="00964C58"/>
    <w:rsid w:val="0096586A"/>
    <w:rsid w:val="0096649F"/>
    <w:rsid w:val="00966ACD"/>
    <w:rsid w:val="009748A7"/>
    <w:rsid w:val="0098075F"/>
    <w:rsid w:val="009851C0"/>
    <w:rsid w:val="00986A6F"/>
    <w:rsid w:val="009907FC"/>
    <w:rsid w:val="009938BB"/>
    <w:rsid w:val="00994ADE"/>
    <w:rsid w:val="009A0215"/>
    <w:rsid w:val="009A1B72"/>
    <w:rsid w:val="009A2BA6"/>
    <w:rsid w:val="009B17E5"/>
    <w:rsid w:val="009B2792"/>
    <w:rsid w:val="009B3416"/>
    <w:rsid w:val="009B5C05"/>
    <w:rsid w:val="009B7EB6"/>
    <w:rsid w:val="009C0426"/>
    <w:rsid w:val="009C3E14"/>
    <w:rsid w:val="009C77F2"/>
    <w:rsid w:val="009D203C"/>
    <w:rsid w:val="009D6879"/>
    <w:rsid w:val="009E26C3"/>
    <w:rsid w:val="009E36C2"/>
    <w:rsid w:val="009F359F"/>
    <w:rsid w:val="009F7509"/>
    <w:rsid w:val="009F7D0C"/>
    <w:rsid w:val="00A017B1"/>
    <w:rsid w:val="00A041DE"/>
    <w:rsid w:val="00A06DA0"/>
    <w:rsid w:val="00A07442"/>
    <w:rsid w:val="00A11916"/>
    <w:rsid w:val="00A15986"/>
    <w:rsid w:val="00A2209C"/>
    <w:rsid w:val="00A329E7"/>
    <w:rsid w:val="00A3734F"/>
    <w:rsid w:val="00A45774"/>
    <w:rsid w:val="00A479E6"/>
    <w:rsid w:val="00A47F6D"/>
    <w:rsid w:val="00A65EC4"/>
    <w:rsid w:val="00A66FC0"/>
    <w:rsid w:val="00A75D34"/>
    <w:rsid w:val="00A80818"/>
    <w:rsid w:val="00A82D84"/>
    <w:rsid w:val="00A838AC"/>
    <w:rsid w:val="00A92B0D"/>
    <w:rsid w:val="00A96622"/>
    <w:rsid w:val="00A97512"/>
    <w:rsid w:val="00AA02D9"/>
    <w:rsid w:val="00AA0CDF"/>
    <w:rsid w:val="00AA100A"/>
    <w:rsid w:val="00AA16A2"/>
    <w:rsid w:val="00AA4B0D"/>
    <w:rsid w:val="00AA50F1"/>
    <w:rsid w:val="00AA5720"/>
    <w:rsid w:val="00AA7A5F"/>
    <w:rsid w:val="00AB3049"/>
    <w:rsid w:val="00AC3571"/>
    <w:rsid w:val="00AC35E0"/>
    <w:rsid w:val="00AC4C65"/>
    <w:rsid w:val="00AD437B"/>
    <w:rsid w:val="00AD43C7"/>
    <w:rsid w:val="00AD7A6F"/>
    <w:rsid w:val="00AE20F7"/>
    <w:rsid w:val="00AF121E"/>
    <w:rsid w:val="00AF2EF7"/>
    <w:rsid w:val="00B00868"/>
    <w:rsid w:val="00B042C6"/>
    <w:rsid w:val="00B116FF"/>
    <w:rsid w:val="00B16843"/>
    <w:rsid w:val="00B169F5"/>
    <w:rsid w:val="00B1781E"/>
    <w:rsid w:val="00B22F93"/>
    <w:rsid w:val="00B30E33"/>
    <w:rsid w:val="00B37259"/>
    <w:rsid w:val="00B3767F"/>
    <w:rsid w:val="00B51BE6"/>
    <w:rsid w:val="00B57DB3"/>
    <w:rsid w:val="00B60ACF"/>
    <w:rsid w:val="00B64241"/>
    <w:rsid w:val="00B65206"/>
    <w:rsid w:val="00B67CA9"/>
    <w:rsid w:val="00B97F1C"/>
    <w:rsid w:val="00BB2898"/>
    <w:rsid w:val="00BC072C"/>
    <w:rsid w:val="00BC5821"/>
    <w:rsid w:val="00BD09B8"/>
    <w:rsid w:val="00BD43EF"/>
    <w:rsid w:val="00BF08B6"/>
    <w:rsid w:val="00BF2310"/>
    <w:rsid w:val="00BF3044"/>
    <w:rsid w:val="00BF3D08"/>
    <w:rsid w:val="00BF7A46"/>
    <w:rsid w:val="00C03F32"/>
    <w:rsid w:val="00C10153"/>
    <w:rsid w:val="00C16647"/>
    <w:rsid w:val="00C22BD0"/>
    <w:rsid w:val="00C2490B"/>
    <w:rsid w:val="00C26351"/>
    <w:rsid w:val="00C27E0E"/>
    <w:rsid w:val="00C311C7"/>
    <w:rsid w:val="00C3305A"/>
    <w:rsid w:val="00C50E94"/>
    <w:rsid w:val="00C5754F"/>
    <w:rsid w:val="00C6600E"/>
    <w:rsid w:val="00C746AF"/>
    <w:rsid w:val="00C750F0"/>
    <w:rsid w:val="00CA345E"/>
    <w:rsid w:val="00CB432C"/>
    <w:rsid w:val="00CB7B9C"/>
    <w:rsid w:val="00CC409E"/>
    <w:rsid w:val="00CE4652"/>
    <w:rsid w:val="00CF380D"/>
    <w:rsid w:val="00CF470E"/>
    <w:rsid w:val="00CF6443"/>
    <w:rsid w:val="00CF6ADB"/>
    <w:rsid w:val="00CF6F37"/>
    <w:rsid w:val="00CF7E94"/>
    <w:rsid w:val="00D107EF"/>
    <w:rsid w:val="00D13471"/>
    <w:rsid w:val="00D2083D"/>
    <w:rsid w:val="00D233B9"/>
    <w:rsid w:val="00D27458"/>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B1F75"/>
    <w:rsid w:val="00DB76F6"/>
    <w:rsid w:val="00DC2CA5"/>
    <w:rsid w:val="00DC3915"/>
    <w:rsid w:val="00DC439D"/>
    <w:rsid w:val="00DC5897"/>
    <w:rsid w:val="00DC6E88"/>
    <w:rsid w:val="00DE5CE8"/>
    <w:rsid w:val="00DE6B4C"/>
    <w:rsid w:val="00DE7403"/>
    <w:rsid w:val="00DF0D4A"/>
    <w:rsid w:val="00DF366D"/>
    <w:rsid w:val="00DF4D87"/>
    <w:rsid w:val="00DF4E56"/>
    <w:rsid w:val="00DF70B5"/>
    <w:rsid w:val="00E00041"/>
    <w:rsid w:val="00E00FB5"/>
    <w:rsid w:val="00E11CE4"/>
    <w:rsid w:val="00E121E5"/>
    <w:rsid w:val="00E15AF4"/>
    <w:rsid w:val="00E168B6"/>
    <w:rsid w:val="00E213FC"/>
    <w:rsid w:val="00E270AD"/>
    <w:rsid w:val="00E320B8"/>
    <w:rsid w:val="00E33B3F"/>
    <w:rsid w:val="00E43440"/>
    <w:rsid w:val="00E4465F"/>
    <w:rsid w:val="00E45380"/>
    <w:rsid w:val="00E51867"/>
    <w:rsid w:val="00E56412"/>
    <w:rsid w:val="00E67CBB"/>
    <w:rsid w:val="00E71190"/>
    <w:rsid w:val="00E77CBE"/>
    <w:rsid w:val="00E804E8"/>
    <w:rsid w:val="00E81457"/>
    <w:rsid w:val="00E852E4"/>
    <w:rsid w:val="00E96370"/>
    <w:rsid w:val="00E97D3A"/>
    <w:rsid w:val="00EA1E1F"/>
    <w:rsid w:val="00EA767A"/>
    <w:rsid w:val="00EB4535"/>
    <w:rsid w:val="00EB7C58"/>
    <w:rsid w:val="00EC52A7"/>
    <w:rsid w:val="00ED0AAB"/>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53E9D"/>
    <w:rsid w:val="00F62173"/>
    <w:rsid w:val="00F64413"/>
    <w:rsid w:val="00F72C87"/>
    <w:rsid w:val="00F85BE8"/>
    <w:rsid w:val="00F94973"/>
    <w:rsid w:val="00FA52C7"/>
    <w:rsid w:val="00FB14A8"/>
    <w:rsid w:val="00FB6F68"/>
    <w:rsid w:val="00FC1583"/>
    <w:rsid w:val="00FD0B71"/>
    <w:rsid w:val="00FD44D4"/>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1D4A2214"/>
  <w15:docId w15:val="{8031B4EC-C6EF-4207-AA7C-883028A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A6B33-1FD9-47BD-B55D-D106E4B02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2803</Words>
  <Characters>16541</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6</cp:revision>
  <cp:lastPrinted>2019-04-17T07:56:00Z</cp:lastPrinted>
  <dcterms:created xsi:type="dcterms:W3CDTF">2019-11-26T07:40:00Z</dcterms:created>
  <dcterms:modified xsi:type="dcterms:W3CDTF">2019-11-28T13:21:00Z</dcterms:modified>
</cp:coreProperties>
</file>